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val="0"/>
        <w:keepLines w:val="0"/>
        <w:pageBreakBefore w:val="0"/>
        <w:widowControl/>
        <w:kinsoku/>
        <w:wordWrap/>
        <w:overflowPunct/>
        <w:topLinePunct w:val="0"/>
        <w:autoSpaceDE/>
        <w:autoSpaceDN/>
        <w:bidi w:val="0"/>
        <w:adjustRightInd/>
        <w:snapToGrid/>
        <w:spacing w:after="0"/>
        <w:textAlignment w:val="auto"/>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3bis</w:t>
      </w:r>
      <w:r>
        <w:tab/>
      </w:r>
      <w:r>
        <w:rPr>
          <w:rFonts w:hint="eastAsia"/>
        </w:rPr>
        <w:t>R2-2310571</w:t>
      </w:r>
    </w:p>
    <w:p>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rFonts w:hint="eastAsia" w:ascii="Arial" w:hAnsi="Arial" w:cs="Arial"/>
          <w:b/>
          <w:bCs/>
          <w:kern w:val="0"/>
          <w:sz w:val="24"/>
          <w:lang w:val="en-US" w:eastAsia="zh-CN"/>
        </w:rPr>
      </w:pPr>
      <w:r>
        <w:rPr>
          <w:rFonts w:hint="eastAsia" w:ascii="Arial" w:hAnsi="Arial" w:cs="Arial"/>
          <w:b/>
          <w:bCs/>
          <w:kern w:val="0"/>
          <w:sz w:val="24"/>
          <w:szCs w:val="22"/>
          <w:lang w:val="en-US" w:eastAsia="zh-CN" w:bidi="ar-SA"/>
        </w:rPr>
        <w:t>Xiamen</w:t>
      </w:r>
      <w:r>
        <w:rPr>
          <w:rFonts w:hint="eastAsia" w:ascii="Arial" w:hAnsi="Arial" w:cs="Arial" w:eastAsiaTheme="minorEastAsia"/>
          <w:b/>
          <w:bCs/>
          <w:kern w:val="0"/>
          <w:sz w:val="24"/>
          <w:szCs w:val="22"/>
          <w:lang w:val="en-US" w:eastAsia="zh-CN" w:bidi="ar-SA"/>
        </w:rPr>
        <w:t xml:space="preserve">, </w:t>
      </w:r>
      <w:r>
        <w:rPr>
          <w:rFonts w:hint="eastAsia" w:ascii="Arial" w:hAnsi="Arial" w:cs="Arial"/>
          <w:b/>
          <w:bCs/>
          <w:kern w:val="0"/>
          <w:sz w:val="24"/>
          <w:szCs w:val="22"/>
          <w:lang w:val="en-US" w:eastAsia="zh-CN" w:bidi="ar-SA"/>
        </w:rPr>
        <w:t>China</w:t>
      </w:r>
      <w:r>
        <w:rPr>
          <w:rFonts w:hint="eastAsia" w:ascii="Arial" w:hAnsi="Arial" w:cs="Arial"/>
          <w:b/>
          <w:bCs/>
          <w:kern w:val="0"/>
          <w:sz w:val="24"/>
          <w:lang w:val="en-US" w:eastAsia="zh-CN"/>
        </w:rPr>
        <w:t>, 09</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-13</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October, 2023</w:t>
      </w:r>
    </w:p>
    <w:p>
      <w:pPr>
        <w:pStyle w:val="40"/>
        <w:spacing w:after="0"/>
        <w:rPr>
          <w:rFonts w:cs="Arial"/>
          <w:sz w:val="22"/>
        </w:rPr>
      </w:pPr>
    </w:p>
    <w:p>
      <w:pPr>
        <w:pStyle w:val="40"/>
        <w:spacing w:after="0"/>
        <w:rPr>
          <w:rFonts w:cs="Arial"/>
          <w:sz w:val="22"/>
        </w:rPr>
      </w:pP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4</w:t>
      </w: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 xml:space="preserve">sideration </w:t>
      </w:r>
      <w:r>
        <w:rPr>
          <w:rFonts w:hint="eastAsia" w:eastAsia="宋体"/>
          <w:sz w:val="22"/>
          <w:lang w:eastAsia="zh-CN"/>
        </w:rPr>
        <w:t>on QoE measurement for NR-DC</w:t>
      </w: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color w:val="FF0000"/>
          <w:sz w:val="22"/>
        </w:rPr>
      </w:pPr>
      <w:r>
        <w:rPr>
          <w:rFonts w:cs="Arial"/>
          <w:sz w:val="22"/>
        </w:rPr>
        <w:t>Document for:</w:t>
      </w:r>
      <w:r>
        <w:rPr>
          <w:rFonts w:cs="Arial"/>
          <w:sz w:val="22"/>
        </w:rPr>
        <w:tab/>
      </w:r>
      <w:r>
        <w:rPr>
          <w:rFonts w:cs="Arial"/>
          <w:sz w:val="22"/>
        </w:rPr>
        <w:t>Discussion and Decision</w:t>
      </w:r>
    </w:p>
    <w:p>
      <w:pPr>
        <w:pStyle w:val="2"/>
        <w:rPr>
          <w:rFonts w:cs="Arial"/>
          <w:b/>
          <w:bCs/>
          <w:lang w:val="en-US"/>
        </w:rPr>
      </w:pPr>
      <w:r>
        <w:rPr>
          <w:rFonts w:cs="Arial"/>
          <w:b/>
          <w:bCs/>
          <w:lang w:val="en-US"/>
        </w:rPr>
        <w:t>Introduction</w:t>
      </w:r>
    </w:p>
    <w:p>
      <w:pPr>
        <w:spacing w:before="120" w:beforeLines="50" w:after="100"/>
        <w:jc w:val="both"/>
        <w:textAlignment w:val="center"/>
        <w:rPr>
          <w:rFonts w:hint="default" w:eastAsia="宋体"/>
          <w:lang w:val="en-US" w:eastAsia="zh-CN"/>
        </w:rPr>
      </w:pPr>
      <w:r>
        <w:rPr>
          <w:rFonts w:hint="eastAsia" w:eastAsia="宋体"/>
          <w:lang w:val="en-US" w:eastAsia="zh-CN"/>
        </w:rPr>
        <w:t>The contribution intends to discuss remaining issues on QoE support in NR-DC with consideration on RAN2 progress made last meeting and the LS received from RAN3 in [1].</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eastAsia="宋体" w:cs="Arial"/>
          <w:b/>
          <w:bCs/>
          <w:color w:val="auto"/>
          <w:lang w:eastAsia="zh-CN"/>
        </w:rPr>
      </w:pPr>
      <w:bookmarkStart w:id="0" w:name="OLE_LINK2"/>
      <w:r>
        <w:rPr>
          <w:rStyle w:val="25"/>
          <w:rFonts w:hint="eastAsia" w:ascii="Arial" w:hAnsi="Arial" w:eastAsia="宋体" w:cs="Arial"/>
          <w:b/>
          <w:bCs/>
          <w:color w:val="auto"/>
          <w:lang w:val="en-US" w:eastAsia="zh-CN"/>
        </w:rPr>
        <w:t>On RAN3 LS in R3-234750</w:t>
      </w:r>
    </w:p>
    <w:tbl>
      <w:tblPr>
        <w:tblStyle w:val="23"/>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tcPr>
          <w:p>
            <w:pPr>
              <w:keepNext/>
              <w:keepLines/>
              <w:widowControl w:val="0"/>
              <w:pBdr>
                <w:top w:val="single" w:color="auto" w:sz="12" w:space="3"/>
              </w:pBdr>
              <w:overflowPunct w:val="0"/>
              <w:autoSpaceDE w:val="0"/>
              <w:autoSpaceDN w:val="0"/>
              <w:adjustRightInd w:val="0"/>
              <w:spacing w:before="240" w:after="180" w:line="240" w:lineRule="auto"/>
              <w:ind w:left="1134" w:hanging="1134"/>
              <w:jc w:val="both"/>
              <w:textAlignment w:val="baseline"/>
              <w:outlineLvl w:val="0"/>
              <w:rPr>
                <w:rFonts w:ascii="Arial" w:hAnsi="Arial" w:eastAsia="等线"/>
                <w:sz w:val="36"/>
                <w:szCs w:val="20"/>
                <w:lang w:val="en-GB" w:eastAsia="en-GB"/>
              </w:rPr>
            </w:pPr>
            <w:r>
              <w:rPr>
                <w:rFonts w:ascii="Arial" w:hAnsi="Arial" w:eastAsia="等线"/>
                <w:sz w:val="36"/>
                <w:szCs w:val="20"/>
                <w:lang w:val="en-GB" w:eastAsia="en-GB"/>
              </w:rPr>
              <w:t>1</w:t>
            </w:r>
            <w:r>
              <w:rPr>
                <w:rFonts w:ascii="Arial" w:hAnsi="Arial" w:eastAsia="等线"/>
                <w:sz w:val="36"/>
                <w:szCs w:val="20"/>
                <w:lang w:val="en-GB" w:eastAsia="en-GB"/>
              </w:rPr>
              <w:tab/>
            </w:r>
            <w:r>
              <w:rPr>
                <w:rFonts w:ascii="Arial" w:hAnsi="Arial" w:eastAsia="等线"/>
                <w:sz w:val="36"/>
                <w:szCs w:val="20"/>
                <w:lang w:val="en-GB" w:eastAsia="en-GB"/>
              </w:rPr>
              <w:t>Overall description</w:t>
            </w:r>
          </w:p>
          <w:p>
            <w:pPr>
              <w:widowControl w:val="0"/>
              <w:spacing w:line="240" w:lineRule="auto"/>
              <w:jc w:val="both"/>
              <w:rPr>
                <w:rFonts w:hint="eastAsia" w:ascii="Arial" w:hAnsi="Arial" w:eastAsia="等线" w:cs="Arial"/>
                <w:sz w:val="20"/>
                <w:szCs w:val="20"/>
                <w:lang w:eastAsia="zh-CN"/>
              </w:rPr>
            </w:pPr>
            <w:r>
              <w:rPr>
                <w:rFonts w:hint="eastAsia" w:ascii="Arial" w:hAnsi="Arial" w:eastAsia="等线" w:cs="Arial"/>
                <w:sz w:val="20"/>
                <w:szCs w:val="20"/>
                <w:lang w:val="en-GB" w:eastAsia="en-US"/>
              </w:rPr>
              <w:t>RAN3 ha</w:t>
            </w:r>
            <w:r>
              <w:rPr>
                <w:rFonts w:hint="eastAsia" w:ascii="Arial" w:hAnsi="Arial" w:eastAsia="等线" w:cs="Arial"/>
                <w:sz w:val="20"/>
                <w:szCs w:val="20"/>
                <w:lang w:eastAsia="zh-CN"/>
              </w:rPr>
              <w:t>s discussed the support for QoE in NR-DC during the RAN3#121 meeting. The following agreements</w:t>
            </w:r>
            <w:r>
              <w:rPr>
                <w:rFonts w:hint="eastAsia" w:ascii="Arial" w:hAnsi="Arial" w:eastAsia="等线" w:cs="Arial"/>
                <w:sz w:val="20"/>
                <w:szCs w:val="20"/>
                <w:lang w:val="en-US" w:eastAsia="zh-CN"/>
              </w:rPr>
              <w:t xml:space="preserve"> and </w:t>
            </w:r>
            <w:r>
              <w:rPr>
                <w:rFonts w:hint="eastAsia" w:ascii="Arial" w:hAnsi="Arial" w:eastAsia="等线" w:cs="Arial"/>
                <w:sz w:val="20"/>
                <w:szCs w:val="20"/>
                <w:lang w:eastAsia="zh-CN"/>
              </w:rPr>
              <w:t>WAs are achieved:</w:t>
            </w:r>
          </w:p>
          <w:p>
            <w:pPr>
              <w:widowControl w:val="0"/>
              <w:numPr>
                <w:ilvl w:val="0"/>
                <w:numId w:val="7"/>
              </w:numPr>
              <w:spacing w:line="240" w:lineRule="auto"/>
              <w:jc w:val="both"/>
              <w:rPr>
                <w:rFonts w:hint="eastAsia" w:ascii="Arial" w:hAnsi="Arial" w:eastAsia="等线" w:cs="Arial"/>
                <w:sz w:val="20"/>
                <w:szCs w:val="20"/>
                <w:lang w:val="en-GB" w:eastAsia="en-US"/>
              </w:rPr>
            </w:pPr>
            <w:r>
              <w:rPr>
                <w:rFonts w:hint="eastAsia" w:ascii="Arial" w:hAnsi="Arial" w:eastAsia="等线" w:cs="Arial"/>
                <w:sz w:val="20"/>
                <w:szCs w:val="20"/>
                <w:lang w:val="en-GB" w:eastAsia="en-US"/>
              </w:rPr>
              <w:t>For s-based QoE configuration received by MN</w:t>
            </w:r>
          </w:p>
          <w:p>
            <w:pPr>
              <w:widowControl w:val="0"/>
              <w:numPr>
                <w:ilvl w:val="0"/>
                <w:numId w:val="7"/>
              </w:numPr>
              <w:spacing w:line="240" w:lineRule="auto"/>
              <w:ind w:left="840" w:firstLine="400" w:firstLineChars="0"/>
              <w:jc w:val="both"/>
              <w:rPr>
                <w:rFonts w:hint="eastAsia" w:ascii="Arial" w:hAnsi="Arial" w:eastAsia="等线" w:cs="Arial"/>
                <w:sz w:val="20"/>
                <w:szCs w:val="20"/>
                <w:lang w:val="en-GB" w:eastAsia="en-US"/>
              </w:rPr>
            </w:pPr>
            <w:r>
              <w:rPr>
                <w:rFonts w:hint="eastAsia" w:ascii="Arial" w:hAnsi="Arial" w:eastAsia="等线" w:cs="Arial"/>
                <w:sz w:val="20"/>
                <w:szCs w:val="20"/>
                <w:lang w:val="en-GB" w:eastAsia="en-US"/>
              </w:rPr>
              <w:t>MN sends the QoE configuration via SRB1</w:t>
            </w:r>
          </w:p>
          <w:p>
            <w:pPr>
              <w:widowControl w:val="0"/>
              <w:numPr>
                <w:ilvl w:val="0"/>
                <w:numId w:val="7"/>
              </w:numPr>
              <w:spacing w:line="240" w:lineRule="auto"/>
              <w:ind w:left="840" w:firstLine="400" w:firstLineChars="0"/>
              <w:jc w:val="both"/>
              <w:rPr>
                <w:rFonts w:hint="eastAsia" w:ascii="Arial" w:hAnsi="Arial" w:eastAsia="等线" w:cs="Arial"/>
                <w:sz w:val="20"/>
                <w:szCs w:val="20"/>
                <w:lang w:val="en-GB" w:eastAsia="en-US"/>
              </w:rPr>
            </w:pPr>
            <w:r>
              <w:rPr>
                <w:rFonts w:hint="eastAsia" w:ascii="Arial" w:hAnsi="Arial" w:eastAsia="等线" w:cs="Arial"/>
                <w:sz w:val="20"/>
                <w:szCs w:val="20"/>
                <w:lang w:val="en-GB" w:eastAsia="en-US"/>
              </w:rPr>
              <w:t>QoE reports can be sent via SRB4 or SRB5</w:t>
            </w:r>
          </w:p>
          <w:p>
            <w:pPr>
              <w:widowControl w:val="0"/>
              <w:numPr>
                <w:ilvl w:val="0"/>
                <w:numId w:val="7"/>
              </w:numPr>
              <w:spacing w:line="240" w:lineRule="auto"/>
              <w:jc w:val="both"/>
              <w:rPr>
                <w:rFonts w:hint="eastAsia" w:ascii="Arial" w:hAnsi="Arial" w:eastAsia="等线" w:cs="Arial"/>
                <w:sz w:val="20"/>
                <w:szCs w:val="20"/>
                <w:lang w:val="en-GB" w:eastAsia="en-US"/>
              </w:rPr>
            </w:pPr>
            <w:r>
              <w:rPr>
                <w:rFonts w:hint="eastAsia" w:ascii="Arial" w:hAnsi="Arial" w:eastAsia="等线" w:cs="Arial"/>
                <w:sz w:val="20"/>
                <w:szCs w:val="20"/>
                <w:lang w:val="en-GB" w:eastAsia="en-US"/>
              </w:rPr>
              <w:t>WA: The transparent reporting for RVQoE over RRC is not supported.</w:t>
            </w:r>
          </w:p>
          <w:p>
            <w:pPr>
              <w:widowControl w:val="0"/>
              <w:numPr>
                <w:ilvl w:val="0"/>
                <w:numId w:val="7"/>
              </w:numPr>
              <w:spacing w:line="240" w:lineRule="auto"/>
              <w:jc w:val="both"/>
              <w:rPr>
                <w:rFonts w:hint="eastAsia" w:ascii="Arial" w:hAnsi="Arial" w:eastAsia="等线" w:cs="Arial"/>
                <w:sz w:val="20"/>
                <w:szCs w:val="20"/>
                <w:lang w:val="en-GB" w:eastAsia="en-US"/>
              </w:rPr>
            </w:pPr>
            <w:r>
              <w:rPr>
                <w:rFonts w:hint="eastAsia" w:ascii="Arial" w:hAnsi="Arial" w:eastAsia="等线" w:cs="Arial"/>
                <w:sz w:val="20"/>
                <w:szCs w:val="20"/>
                <w:lang w:val="en-GB" w:eastAsia="en-US"/>
              </w:rPr>
              <w:t>Define two different reporting leg indications for QoE and RVQoE.</w:t>
            </w:r>
          </w:p>
          <w:p>
            <w:pPr>
              <w:widowControl w:val="0"/>
              <w:numPr>
                <w:ilvl w:val="0"/>
                <w:numId w:val="7"/>
              </w:numPr>
              <w:spacing w:line="240" w:lineRule="auto"/>
              <w:jc w:val="both"/>
              <w:rPr>
                <w:rFonts w:hint="eastAsia" w:ascii="Arial" w:hAnsi="Arial" w:eastAsia="等线" w:cs="Arial"/>
                <w:sz w:val="20"/>
                <w:szCs w:val="20"/>
                <w:lang w:val="en-GB" w:eastAsia="en-US"/>
              </w:rPr>
            </w:pPr>
            <w:r>
              <w:rPr>
                <w:rFonts w:hint="eastAsia" w:ascii="Arial" w:hAnsi="Arial" w:eastAsia="等线" w:cs="Arial"/>
                <w:sz w:val="20"/>
                <w:szCs w:val="20"/>
                <w:lang w:val="en-GB" w:eastAsia="en-US"/>
              </w:rPr>
              <w:t>For a UE in NR-DC, each legacy QoE configuration can have only one corresponding RVQoE configuration when needed.</w:t>
            </w:r>
          </w:p>
          <w:p>
            <w:pPr>
              <w:keepNext/>
              <w:keepLines/>
              <w:widowControl w:val="0"/>
              <w:pBdr>
                <w:top w:val="single" w:color="auto" w:sz="12" w:space="3"/>
              </w:pBdr>
              <w:overflowPunct w:val="0"/>
              <w:autoSpaceDE w:val="0"/>
              <w:autoSpaceDN w:val="0"/>
              <w:adjustRightInd w:val="0"/>
              <w:spacing w:before="240" w:after="180" w:line="240" w:lineRule="auto"/>
              <w:ind w:left="1134" w:hanging="1134"/>
              <w:jc w:val="both"/>
              <w:textAlignment w:val="baseline"/>
              <w:outlineLvl w:val="0"/>
              <w:rPr>
                <w:rFonts w:ascii="Arial" w:hAnsi="Arial" w:eastAsia="等线"/>
                <w:sz w:val="36"/>
                <w:szCs w:val="20"/>
                <w:lang w:val="en-GB" w:eastAsia="en-GB"/>
              </w:rPr>
            </w:pPr>
            <w:r>
              <w:rPr>
                <w:rFonts w:ascii="Arial" w:hAnsi="Arial" w:eastAsia="等线"/>
                <w:sz w:val="36"/>
                <w:szCs w:val="20"/>
                <w:lang w:val="en-GB" w:eastAsia="en-GB"/>
              </w:rPr>
              <w:t>2</w:t>
            </w:r>
            <w:r>
              <w:rPr>
                <w:rFonts w:ascii="Arial" w:hAnsi="Arial" w:eastAsia="等线"/>
                <w:sz w:val="36"/>
                <w:szCs w:val="20"/>
                <w:lang w:val="en-GB" w:eastAsia="en-GB"/>
              </w:rPr>
              <w:tab/>
            </w:r>
            <w:r>
              <w:rPr>
                <w:rFonts w:ascii="Arial" w:hAnsi="Arial" w:eastAsia="等线"/>
                <w:sz w:val="36"/>
                <w:szCs w:val="20"/>
                <w:lang w:val="en-GB" w:eastAsia="en-GB"/>
              </w:rPr>
              <w:t>Actions</w:t>
            </w:r>
          </w:p>
          <w:p>
            <w:pPr>
              <w:widowControl w:val="0"/>
              <w:overflowPunct w:val="0"/>
              <w:autoSpaceDE w:val="0"/>
              <w:autoSpaceDN w:val="0"/>
              <w:adjustRightInd w:val="0"/>
              <w:spacing w:line="240" w:lineRule="auto"/>
              <w:ind w:left="1985" w:hanging="1985"/>
              <w:jc w:val="both"/>
              <w:textAlignment w:val="baseline"/>
              <w:rPr>
                <w:rFonts w:ascii="Arial" w:hAnsi="Arial" w:eastAsia="等线" w:cs="Arial"/>
                <w:b/>
                <w:sz w:val="20"/>
                <w:szCs w:val="20"/>
                <w:lang w:val="en-GB" w:eastAsia="en-GB"/>
              </w:rPr>
            </w:pPr>
            <w:r>
              <w:rPr>
                <w:rFonts w:ascii="Arial" w:hAnsi="Arial" w:eastAsia="等线" w:cs="Arial"/>
                <w:b/>
                <w:sz w:val="20"/>
                <w:szCs w:val="20"/>
                <w:lang w:val="en-GB" w:eastAsia="en-GB"/>
              </w:rPr>
              <w:t xml:space="preserve">To </w:t>
            </w:r>
            <w:r>
              <w:rPr>
                <w:rFonts w:hint="eastAsia" w:ascii="Arial" w:hAnsi="Arial" w:eastAsia="等线" w:cs="Arial"/>
                <w:b/>
                <w:sz w:val="20"/>
                <w:szCs w:val="20"/>
                <w:lang w:eastAsia="zh-CN"/>
              </w:rPr>
              <w:t>RAN2</w:t>
            </w:r>
            <w:r>
              <w:rPr>
                <w:rFonts w:ascii="Arial" w:hAnsi="Arial" w:eastAsia="等线" w:cs="Arial"/>
                <w:b/>
                <w:sz w:val="20"/>
                <w:szCs w:val="20"/>
                <w:lang w:val="en-GB" w:eastAsia="en-GB"/>
              </w:rPr>
              <w:t>:</w:t>
            </w:r>
          </w:p>
          <w:p>
            <w:pPr>
              <w:widowControl w:val="0"/>
              <w:spacing w:line="240" w:lineRule="auto"/>
              <w:jc w:val="both"/>
              <w:rPr>
                <w:rFonts w:ascii="Arial" w:hAnsi="Arial" w:eastAsia="等线" w:cs="Arial"/>
                <w:sz w:val="20"/>
                <w:szCs w:val="20"/>
                <w:lang w:eastAsia="zh-CN"/>
              </w:rPr>
            </w:pPr>
            <w:r>
              <w:rPr>
                <w:rFonts w:ascii="Arial" w:hAnsi="Arial" w:eastAsia="等线" w:cs="Arial"/>
                <w:b/>
                <w:sz w:val="20"/>
                <w:szCs w:val="20"/>
                <w:lang w:val="en-GB" w:eastAsia="en-GB"/>
              </w:rPr>
              <w:t xml:space="preserve">ACTION: </w:t>
            </w:r>
            <w:r>
              <w:rPr>
                <w:rFonts w:ascii="Arial" w:hAnsi="Arial" w:eastAsia="等线" w:cs="Arial"/>
                <w:b/>
                <w:sz w:val="20"/>
                <w:szCs w:val="20"/>
                <w:lang w:val="en-GB" w:eastAsia="en-GB"/>
              </w:rPr>
              <w:tab/>
            </w:r>
          </w:p>
          <w:p>
            <w:pPr>
              <w:widowControl w:val="0"/>
              <w:spacing w:line="240" w:lineRule="auto"/>
              <w:jc w:val="both"/>
              <w:rPr>
                <w:rFonts w:hint="default" w:cs="Times New Roman"/>
                <w:bCs/>
                <w:vertAlign w:val="baseline"/>
                <w:lang w:val="en-US" w:eastAsia="zh-CN"/>
              </w:rPr>
            </w:pPr>
            <w:r>
              <w:rPr>
                <w:rFonts w:hint="eastAsia" w:ascii="Arial" w:hAnsi="Arial" w:eastAsia="等线" w:cs="Arial"/>
                <w:sz w:val="20"/>
                <w:szCs w:val="20"/>
                <w:lang w:eastAsia="zh-CN"/>
              </w:rPr>
              <w:t xml:space="preserve">RAN3 </w:t>
            </w:r>
            <w:r>
              <w:rPr>
                <w:rFonts w:ascii="Arial" w:hAnsi="Arial" w:eastAsia="等线" w:cs="Arial"/>
                <w:sz w:val="20"/>
                <w:szCs w:val="20"/>
                <w:lang w:eastAsia="zh-CN"/>
              </w:rPr>
              <w:t>respectfully</w:t>
            </w:r>
            <w:r>
              <w:rPr>
                <w:rFonts w:hint="eastAsia" w:ascii="Arial" w:hAnsi="Arial" w:eastAsia="等线" w:cs="Arial"/>
                <w:sz w:val="20"/>
                <w:szCs w:val="20"/>
                <w:lang w:eastAsia="zh-CN"/>
              </w:rPr>
              <w:t xml:space="preserve"> asks RAN2 to</w:t>
            </w:r>
            <w:r>
              <w:rPr>
                <w:rFonts w:ascii="Arial" w:hAnsi="Arial" w:eastAsia="等线" w:cs="Arial"/>
                <w:sz w:val="20"/>
                <w:szCs w:val="20"/>
                <w:lang w:eastAsia="zh-CN"/>
              </w:rPr>
              <w:t xml:space="preserve"> consider</w:t>
            </w:r>
            <w:r>
              <w:rPr>
                <w:rFonts w:hint="eastAsia" w:ascii="Arial" w:hAnsi="Arial" w:eastAsia="等线" w:cs="Arial"/>
                <w:sz w:val="20"/>
                <w:szCs w:val="20"/>
                <w:lang w:eastAsia="zh-CN"/>
              </w:rPr>
              <w:t xml:space="preserve"> the above RAN3 </w:t>
            </w:r>
            <w:r>
              <w:rPr>
                <w:rFonts w:ascii="Arial" w:hAnsi="Arial" w:eastAsia="等线" w:cs="Arial"/>
                <w:sz w:val="20"/>
                <w:szCs w:val="20"/>
                <w:lang w:eastAsia="zh-CN"/>
              </w:rPr>
              <w:t xml:space="preserve">agreements </w:t>
            </w:r>
            <w:r>
              <w:rPr>
                <w:rFonts w:hint="eastAsia" w:ascii="Arial" w:hAnsi="Arial" w:eastAsia="等线" w:cs="Arial"/>
                <w:sz w:val="20"/>
                <w:szCs w:val="20"/>
                <w:lang w:eastAsia="zh-CN"/>
              </w:rPr>
              <w:t>in the</w:t>
            </w:r>
            <w:r>
              <w:rPr>
                <w:rFonts w:ascii="Arial" w:hAnsi="Arial" w:eastAsia="等线" w:cs="Arial"/>
                <w:sz w:val="20"/>
                <w:szCs w:val="20"/>
                <w:lang w:eastAsia="zh-CN"/>
              </w:rPr>
              <w:t>ir</w:t>
            </w:r>
            <w:r>
              <w:rPr>
                <w:rFonts w:hint="eastAsia" w:ascii="Arial" w:hAnsi="Arial" w:eastAsia="等线" w:cs="Arial"/>
                <w:sz w:val="20"/>
                <w:szCs w:val="20"/>
                <w:lang w:eastAsia="zh-CN"/>
              </w:rPr>
              <w:t xml:space="preserve"> </w:t>
            </w:r>
            <w:r>
              <w:rPr>
                <w:rFonts w:ascii="Arial" w:hAnsi="Arial" w:eastAsia="等线" w:cs="Arial"/>
                <w:sz w:val="20"/>
                <w:szCs w:val="20"/>
                <w:lang w:eastAsia="zh-CN"/>
              </w:rPr>
              <w:t>work and provide the necessary specification support</w:t>
            </w:r>
            <w:r>
              <w:rPr>
                <w:rFonts w:hint="eastAsia" w:ascii="Arial" w:hAnsi="Arial" w:eastAsia="等线" w:cs="Arial"/>
                <w:sz w:val="20"/>
                <w:szCs w:val="20"/>
                <w:lang w:eastAsia="zh-CN"/>
              </w:rPr>
              <w:t>.</w:t>
            </w:r>
          </w:p>
        </w:tc>
      </w:tr>
    </w:tbl>
    <w:p>
      <w:pPr>
        <w:pStyle w:val="66"/>
        <w:keepNext w:val="0"/>
        <w:keepLines w:val="0"/>
        <w:pageBreakBefore w:val="0"/>
        <w:widowControl/>
        <w:kinsoku/>
        <w:wordWrap/>
        <w:overflowPunct/>
        <w:topLinePunct w:val="0"/>
        <w:autoSpaceDE/>
        <w:autoSpaceDN/>
        <w:bidi w:val="0"/>
        <w:adjustRightInd/>
        <w:snapToGrid/>
        <w:spacing w:before="160"/>
        <w:ind w:left="0" w:leftChars="0" w:firstLine="0" w:firstLineChars="0"/>
        <w:jc w:val="both"/>
        <w:textAlignment w:val="auto"/>
        <w:rPr>
          <w:rFonts w:hint="eastAsia" w:cs="Times New Roman"/>
          <w:bCs/>
          <w:lang w:val="en-US" w:eastAsia="zh-CN"/>
        </w:rPr>
      </w:pPr>
      <w:r>
        <w:rPr>
          <w:rFonts w:hint="eastAsia" w:cs="Times New Roman"/>
          <w:bCs/>
          <w:lang w:val="en-US" w:eastAsia="zh-CN"/>
        </w:rPr>
        <w:t>Above LS has been receive from RAN3 to inform RAN2 about their latest progress in QoE in NR-DC, and asking RAN2 to take their decision into account when design corresponding signalling support .</w:t>
      </w:r>
    </w:p>
    <w:p>
      <w:pPr>
        <w:pStyle w:val="66"/>
        <w:ind w:left="0" w:leftChars="0" w:firstLine="0" w:firstLineChars="0"/>
        <w:jc w:val="both"/>
        <w:rPr>
          <w:rFonts w:hint="default" w:cs="Times New Roman"/>
          <w:bCs/>
          <w:highlight w:val="none"/>
          <w:lang w:val="en-US" w:eastAsia="zh-CN"/>
        </w:rPr>
      </w:pPr>
      <w:r>
        <w:rPr>
          <w:rFonts w:hint="eastAsia" w:cs="Times New Roman"/>
          <w:bCs/>
          <w:highlight w:val="none"/>
          <w:lang w:val="en-US" w:eastAsia="zh-CN"/>
        </w:rPr>
        <w:t>Regarding the first  and forth bullet on NW configuration and QoE reports, it is understood that such behavior has already been agreed by RAN2 and can be supported via RRC signalling. No further discussion is needed. Regarding to the third bullet to define two different reporting leg indication for QoE and RVQoE separately, though it has been captured in RAN2 RRC Running CR, RAN2 do have an open issues on this topic and marked as wait for RAN3. To avoid ambiguity in the agreements and the specs, it is preferred to make it as an explicit agreement.</w:t>
      </w:r>
    </w:p>
    <w:p>
      <w:pPr>
        <w:pStyle w:val="66"/>
        <w:ind w:left="0" w:leftChars="0" w:firstLine="0" w:firstLineChars="0"/>
        <w:jc w:val="both"/>
        <w:rPr>
          <w:rFonts w:hint="default" w:cs="Times New Roman"/>
          <w:b/>
          <w:bCs w:val="0"/>
          <w:highlight w:val="none"/>
          <w:lang w:val="en-US" w:eastAsia="zh-CN"/>
        </w:rPr>
      </w:pPr>
      <w:r>
        <w:rPr>
          <w:rFonts w:hint="eastAsia" w:cs="Times New Roman"/>
          <w:b/>
          <w:bCs w:val="0"/>
          <w:highlight w:val="none"/>
          <w:lang w:val="en-US" w:eastAsia="zh-CN"/>
        </w:rPr>
        <w:t xml:space="preserve">Proposal 1: An explicit indication is introduced to indicate </w:t>
      </w:r>
      <w:r>
        <w:rPr>
          <w:rFonts w:hint="default" w:cs="Times New Roman"/>
          <w:b/>
          <w:bCs w:val="0"/>
          <w:highlight w:val="none"/>
          <w:lang w:val="en-US" w:eastAsia="zh-CN"/>
        </w:rPr>
        <w:t>which bearer should be used for RVQoE reporting per QoE configuration.</w:t>
      </w:r>
    </w:p>
    <w:p>
      <w:pPr>
        <w:pStyle w:val="66"/>
        <w:ind w:left="0" w:leftChars="0" w:firstLine="0" w:firstLineChars="0"/>
        <w:jc w:val="both"/>
        <w:rPr>
          <w:rFonts w:hint="eastAsia" w:cs="Times New Roman"/>
          <w:bCs/>
          <w:highlight w:val="none"/>
          <w:lang w:val="en-US" w:eastAsia="zh-CN"/>
        </w:rPr>
      </w:pPr>
      <w:r>
        <w:rPr>
          <w:rFonts w:hint="eastAsia" w:cs="Times New Roman"/>
          <w:bCs/>
          <w:highlight w:val="none"/>
          <w:lang w:val="en-US" w:eastAsia="zh-CN"/>
        </w:rPr>
        <w:t>Then the only remaining issues relevant to RAN3</w:t>
      </w:r>
      <w:r>
        <w:rPr>
          <w:rFonts w:hint="default" w:cs="Times New Roman"/>
          <w:bCs/>
          <w:highlight w:val="none"/>
          <w:lang w:val="en-US" w:eastAsia="zh-CN"/>
        </w:rPr>
        <w:t>’</w:t>
      </w:r>
      <w:r>
        <w:rPr>
          <w:rFonts w:hint="eastAsia" w:cs="Times New Roman"/>
          <w:bCs/>
          <w:highlight w:val="none"/>
          <w:lang w:val="en-US" w:eastAsia="zh-CN"/>
        </w:rPr>
        <w:t>s LS is on handling of RVQoE reporting to a node different from the node generating the configuration, on which below working assumption has been reached in RAN2:</w:t>
      </w:r>
    </w:p>
    <w:tbl>
      <w:tblPr>
        <w:tblStyle w:val="23"/>
        <w:tblW w:w="964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tcPr>
          <w:p>
            <w:pPr>
              <w:pStyle w:val="65"/>
              <w:keepNext w:val="0"/>
              <w:keepLines w:val="0"/>
              <w:pageBreakBefore w:val="0"/>
              <w:widowControl w:val="0"/>
              <w:numPr>
                <w:numId w:val="0"/>
              </w:numPr>
              <w:tabs>
                <w:tab w:val="left" w:pos="1636"/>
                <w:tab w:val="clear" w:pos="1619"/>
              </w:tabs>
              <w:kinsoku/>
              <w:wordWrap/>
              <w:overflowPunct/>
              <w:topLinePunct w:val="0"/>
              <w:autoSpaceDE/>
              <w:autoSpaceDN/>
              <w:bidi w:val="0"/>
              <w:adjustRightInd/>
              <w:snapToGrid/>
              <w:spacing w:after="137" w:afterLines="50" w:line="312" w:lineRule="auto"/>
              <w:ind w:left="-1" w:leftChars="0"/>
              <w:jc w:val="both"/>
              <w:textAlignment w:val="auto"/>
              <w:rPr>
                <w:rFonts w:hint="default" w:ascii="Times New Roman" w:hAnsi="Times New Roman" w:eastAsia="宋体" w:cs="Times New Roman"/>
                <w:b/>
                <w:bCs w:val="0"/>
                <w:i w:val="0"/>
                <w:iCs w:val="0"/>
                <w:highlight w:val="green"/>
                <w:lang w:val="en-US" w:eastAsia="zh-CN"/>
              </w:rPr>
            </w:pPr>
            <w:r>
              <w:rPr>
                <w:rFonts w:hint="eastAsia" w:ascii="Times New Roman" w:hAnsi="Times New Roman" w:eastAsia="宋体" w:cs="Times New Roman"/>
                <w:b/>
                <w:bCs w:val="0"/>
                <w:i w:val="0"/>
                <w:iCs w:val="0"/>
                <w:highlight w:val="green"/>
                <w:lang w:val="en-US" w:eastAsia="zh-CN"/>
              </w:rPr>
              <w:t>RAN2#123  Agreements</w:t>
            </w:r>
          </w:p>
          <w:p>
            <w:pPr>
              <w:pStyle w:val="65"/>
              <w:keepNext w:val="0"/>
              <w:keepLines w:val="0"/>
              <w:pageBreakBefore w:val="0"/>
              <w:widowControl w:val="0"/>
              <w:numPr>
                <w:numId w:val="0"/>
              </w:numPr>
              <w:tabs>
                <w:tab w:val="left" w:pos="1636"/>
                <w:tab w:val="clear" w:pos="1619"/>
              </w:tabs>
              <w:kinsoku/>
              <w:wordWrap/>
              <w:overflowPunct/>
              <w:topLinePunct w:val="0"/>
              <w:autoSpaceDE/>
              <w:autoSpaceDN/>
              <w:bidi w:val="0"/>
              <w:adjustRightInd/>
              <w:snapToGrid/>
              <w:spacing w:after="137" w:afterLines="50" w:line="312" w:lineRule="auto"/>
              <w:ind w:left="-1" w:leftChars="0"/>
              <w:jc w:val="both"/>
              <w:textAlignment w:val="auto"/>
              <w:rPr>
                <w:rFonts w:hint="default" w:ascii="Times New Roman" w:hAnsi="Times New Roman" w:cs="Times New Roman"/>
                <w:b w:val="0"/>
                <w:bCs/>
                <w:i w:val="0"/>
                <w:iCs w:val="0"/>
              </w:rPr>
            </w:pPr>
            <w:r>
              <w:rPr>
                <w:rFonts w:hint="default" w:ascii="Times New Roman" w:hAnsi="Times New Roman" w:cs="Times New Roman"/>
                <w:b w:val="0"/>
                <w:bCs/>
                <w:i w:val="0"/>
                <w:iCs w:val="0"/>
              </w:rPr>
              <w:t>1: As working assumption, for encapsulated QoE report associated with the non-receiving RAN node, use option 1 (i.e.MeasurementReportAppLayer message)  to send to the receiving RAN node. This can be revisited if RAN3 decisions warrant something different for RVQoE.</w:t>
            </w:r>
          </w:p>
          <w:p>
            <w:pPr>
              <w:pStyle w:val="65"/>
              <w:keepNext w:val="0"/>
              <w:keepLines w:val="0"/>
              <w:pageBreakBefore w:val="0"/>
              <w:widowControl w:val="0"/>
              <w:numPr>
                <w:numId w:val="0"/>
              </w:numPr>
              <w:tabs>
                <w:tab w:val="left" w:pos="1636"/>
                <w:tab w:val="clear" w:pos="1619"/>
              </w:tabs>
              <w:kinsoku/>
              <w:wordWrap/>
              <w:overflowPunct/>
              <w:topLinePunct w:val="0"/>
              <w:autoSpaceDE/>
              <w:autoSpaceDN/>
              <w:bidi w:val="0"/>
              <w:adjustRightInd/>
              <w:snapToGrid/>
              <w:spacing w:after="137" w:afterLines="50" w:line="312" w:lineRule="auto"/>
              <w:ind w:left="-1" w:leftChars="0"/>
              <w:jc w:val="both"/>
              <w:textAlignment w:val="auto"/>
              <w:rPr>
                <w:lang w:val="en-GB" w:eastAsia="zh-CN"/>
              </w:rPr>
            </w:pPr>
            <w:r>
              <w:rPr>
                <w:rFonts w:hint="default" w:ascii="Times New Roman" w:hAnsi="Times New Roman" w:cs="Times New Roman"/>
                <w:b w:val="0"/>
                <w:bCs/>
                <w:i w:val="0"/>
                <w:iCs w:val="0"/>
              </w:rPr>
              <w:t>2: Send LS to ask RAN3 to ask if the above RAN2 working assumption has some problem from RAN3 perspective (e.g. since the RVQoE measurement associated with the non-receiving RAN node can be visible to the receiving RAN node). The question is included in the LS for offline 204 (Huawei).</w:t>
            </w:r>
          </w:p>
        </w:tc>
      </w:tr>
    </w:tbl>
    <w:p>
      <w:pPr>
        <w:pStyle w:val="66"/>
        <w:keepNext w:val="0"/>
        <w:keepLines w:val="0"/>
        <w:pageBreakBefore w:val="0"/>
        <w:kinsoku/>
        <w:wordWrap/>
        <w:overflowPunct/>
        <w:topLinePunct w:val="0"/>
        <w:autoSpaceDE/>
        <w:autoSpaceDN/>
        <w:bidi w:val="0"/>
        <w:adjustRightInd/>
        <w:snapToGrid/>
        <w:spacing w:after="137" w:afterLines="50" w:line="312" w:lineRule="auto"/>
        <w:ind w:left="0" w:leftChars="0" w:firstLine="0" w:firstLineChars="0"/>
        <w:jc w:val="both"/>
        <w:textAlignment w:val="auto"/>
        <w:rPr>
          <w:rFonts w:hint="eastAsia" w:cs="Times New Roman"/>
          <w:b w:val="0"/>
          <w:bCs/>
          <w:highlight w:val="none"/>
          <w:lang w:val="en-US" w:eastAsia="zh-CN"/>
        </w:rPr>
      </w:pPr>
    </w:p>
    <w:p>
      <w:pPr>
        <w:pStyle w:val="66"/>
        <w:keepNext w:val="0"/>
        <w:keepLines w:val="0"/>
        <w:pageBreakBefore w:val="0"/>
        <w:kinsoku/>
        <w:wordWrap/>
        <w:overflowPunct/>
        <w:topLinePunct w:val="0"/>
        <w:autoSpaceDE/>
        <w:autoSpaceDN/>
        <w:bidi w:val="0"/>
        <w:adjustRightInd/>
        <w:snapToGrid/>
        <w:spacing w:after="137" w:afterLines="50" w:line="312" w:lineRule="auto"/>
        <w:ind w:left="0" w:leftChars="0" w:firstLine="0" w:firstLineChars="0"/>
        <w:jc w:val="both"/>
        <w:textAlignment w:val="auto"/>
        <w:rPr>
          <w:rFonts w:hint="eastAsia"/>
          <w:b w:val="0"/>
          <w:bCs/>
          <w:lang w:val="en-US" w:eastAsia="zh-CN"/>
        </w:rPr>
      </w:pPr>
      <w:r>
        <w:rPr>
          <w:rFonts w:hint="eastAsia" w:cs="Times New Roman"/>
          <w:b w:val="0"/>
          <w:bCs/>
          <w:highlight w:val="none"/>
          <w:lang w:val="en-US" w:eastAsia="zh-CN"/>
        </w:rPr>
        <w:t xml:space="preserve">The working assumption intends to apply the same solution for RVQoE, i.e., using </w:t>
      </w:r>
      <w:r>
        <w:rPr>
          <w:rFonts w:hint="eastAsia"/>
          <w:b w:val="0"/>
          <w:bCs/>
          <w:lang w:val="en-US" w:eastAsia="zh-CN"/>
        </w:rPr>
        <w:t xml:space="preserve">MeasurementReportAppLayer for RVQoE report of non-receiving node to the receiving node. However there are some concerns on exposing RVQoE reports to a different node. </w:t>
      </w:r>
      <w:r>
        <w:rPr>
          <w:rFonts w:hint="eastAsia" w:cs="Times New Roman"/>
          <w:b w:val="0"/>
          <w:bCs/>
          <w:highlight w:val="none"/>
          <w:lang w:val="en-US" w:eastAsia="zh-CN"/>
        </w:rPr>
        <w:t xml:space="preserve"> Due to such concern, RAN2 has sent an LS </w:t>
      </w:r>
      <w:r>
        <w:rPr>
          <w:rFonts w:hint="eastAsia"/>
          <w:b w:val="0"/>
          <w:bCs/>
          <w:lang w:val="en-US" w:eastAsia="zh-CN"/>
        </w:rPr>
        <w:t>last meeting to RAN3 asking if there are any concerns to include report through MeasurementReportAppLayer to non-receiving node instead of using RRC container.</w:t>
      </w:r>
    </w:p>
    <w:p>
      <w:pPr>
        <w:pStyle w:val="66"/>
        <w:ind w:left="0" w:leftChars="0" w:firstLine="0" w:firstLineChars="0"/>
        <w:jc w:val="both"/>
        <w:rPr>
          <w:rFonts w:hint="eastAsia"/>
          <w:lang w:val="en-US" w:eastAsia="zh-CN"/>
        </w:rPr>
      </w:pPr>
      <w:r>
        <w:rPr>
          <w:rFonts w:hint="eastAsia" w:cs="Times New Roman"/>
          <w:b/>
          <w:bCs w:val="0"/>
          <w:highlight w:val="none"/>
          <w:lang w:val="en-US" w:eastAsia="zh-CN"/>
        </w:rPr>
        <w:t xml:space="preserve">Observation 1: RAN2 reached an WA that  </w:t>
      </w:r>
      <w:r>
        <w:rPr>
          <w:rFonts w:hint="eastAsia"/>
          <w:b/>
          <w:bCs w:val="0"/>
          <w:lang w:val="en-US" w:eastAsia="zh-CN"/>
        </w:rPr>
        <w:t xml:space="preserve">MeasurementReportAppLayer is used for encapsulated QoE report of non-receiving node to the receiving node, with the intention to reuse the solution for </w:t>
      </w:r>
      <w:r>
        <w:rPr>
          <w:rFonts w:hint="eastAsia" w:cs="Times New Roman"/>
          <w:b/>
          <w:bCs w:val="0"/>
          <w:highlight w:val="none"/>
          <w:lang w:val="en-US" w:eastAsia="zh-CN"/>
        </w:rPr>
        <w:t>RVQoE, with feasibility to be confirmed by RAN3.</w:t>
      </w:r>
    </w:p>
    <w:p>
      <w:pPr>
        <w:pStyle w:val="66"/>
        <w:ind w:left="0" w:leftChars="0" w:firstLine="0" w:firstLineChars="0"/>
        <w:jc w:val="both"/>
        <w:rPr>
          <w:rFonts w:hint="eastAsia"/>
          <w:lang w:val="en-US" w:eastAsia="zh-CN"/>
        </w:rPr>
      </w:pPr>
      <w:r>
        <w:rPr>
          <w:rFonts w:hint="eastAsia"/>
          <w:lang w:val="en-US" w:eastAsia="zh-CN"/>
        </w:rPr>
        <w:t>Although RAN3</w:t>
      </w:r>
      <w:r>
        <w:rPr>
          <w:rFonts w:hint="default"/>
          <w:lang w:val="en-US" w:eastAsia="zh-CN"/>
        </w:rPr>
        <w:t>’</w:t>
      </w:r>
      <w:r>
        <w:rPr>
          <w:rFonts w:hint="eastAsia"/>
          <w:lang w:val="en-US" w:eastAsia="zh-CN"/>
        </w:rPr>
        <w:t xml:space="preserve">s reply LS will not received until after this meeting, RAN3did reached WA that the transparent reporting for RVQoE over RRC is no supported. </w:t>
      </w:r>
    </w:p>
    <w:p>
      <w:pPr>
        <w:pStyle w:val="66"/>
        <w:ind w:left="0" w:leftChars="0" w:firstLine="0" w:firstLineChars="0"/>
        <w:jc w:val="both"/>
        <w:rPr>
          <w:rFonts w:hint="eastAsia" w:cs="Times New Roman"/>
          <w:b/>
          <w:bCs w:val="0"/>
          <w:highlight w:val="none"/>
          <w:lang w:val="en-US" w:eastAsia="zh-CN"/>
        </w:rPr>
      </w:pPr>
      <w:r>
        <w:rPr>
          <w:rFonts w:hint="eastAsia" w:cs="Times New Roman"/>
          <w:b/>
          <w:bCs w:val="0"/>
          <w:highlight w:val="none"/>
          <w:lang w:val="en-US" w:eastAsia="zh-CN"/>
        </w:rPr>
        <w:t xml:space="preserve">Observation 2:  RAN3 has reached working assumption that RVQoE report transparently over RRC is not support. </w:t>
      </w:r>
    </w:p>
    <w:p>
      <w:pPr>
        <w:pStyle w:val="66"/>
        <w:ind w:left="0" w:leftChars="0" w:firstLine="0" w:firstLineChars="0"/>
        <w:jc w:val="both"/>
        <w:rPr>
          <w:rFonts w:hint="default"/>
          <w:lang w:val="en-US" w:eastAsia="zh-CN"/>
        </w:rPr>
      </w:pPr>
      <w:r>
        <w:rPr>
          <w:rFonts w:hint="eastAsia"/>
          <w:lang w:val="en-US" w:eastAsia="zh-CN"/>
        </w:rPr>
        <w:t>Based on above RAN3 WA it can be known that at least RAN3 doesn</w:t>
      </w:r>
      <w:r>
        <w:rPr>
          <w:rFonts w:hint="default"/>
          <w:lang w:val="en-US" w:eastAsia="zh-CN"/>
        </w:rPr>
        <w:t>’</w:t>
      </w:r>
      <w:r>
        <w:rPr>
          <w:rFonts w:hint="eastAsia"/>
          <w:lang w:val="en-US" w:eastAsia="zh-CN"/>
        </w:rPr>
        <w:t xml:space="preserve">t see major concerns to use </w:t>
      </w:r>
      <w:r>
        <w:rPr>
          <w:rFonts w:hint="eastAsia"/>
          <w:b w:val="0"/>
          <w:bCs/>
          <w:lang w:val="en-US" w:eastAsia="zh-CN"/>
        </w:rPr>
        <w:t>MeasurementReportAppLayer</w:t>
      </w:r>
      <w:r>
        <w:rPr>
          <w:rFonts w:hint="eastAsia"/>
          <w:lang w:val="en-US" w:eastAsia="zh-CN"/>
        </w:rPr>
        <w:t xml:space="preserve"> message. Therefore it is suggested RAN2 to confirm the working assumption for encapsulated QoE report, and extend it for RVQoE.  </w:t>
      </w:r>
    </w:p>
    <w:p>
      <w:pPr>
        <w:bidi w:val="0"/>
        <w:rPr>
          <w:rFonts w:hint="eastAsia"/>
          <w:b/>
          <w:bCs/>
          <w:lang w:val="en-US" w:eastAsia="zh-CN"/>
        </w:rPr>
      </w:pPr>
      <w:r>
        <w:rPr>
          <w:rFonts w:hint="eastAsia"/>
          <w:b/>
          <w:bCs/>
          <w:lang w:val="en-US" w:eastAsia="zh-CN"/>
        </w:rPr>
        <w:t>Proposal 2:  QoE report (e.g., either encapsulated QoE or RVQoE) associated with the non-receiving RAN node, can be send to the receiving RAN node via MeasurementReportAppLayer message if configured by NW.</w:t>
      </w:r>
    </w:p>
    <w:p>
      <w:pPr>
        <w:pStyle w:val="66"/>
        <w:ind w:left="0" w:leftChars="0" w:firstLine="0" w:firstLineChars="0"/>
        <w:jc w:val="both"/>
        <w:rPr>
          <w:rFonts w:hint="eastAsia"/>
          <w:lang w:val="en-US" w:eastAsia="zh-CN"/>
        </w:rPr>
      </w:pPr>
      <w:r>
        <w:rPr>
          <w:rFonts w:hint="eastAsia"/>
          <w:lang w:val="en-US" w:eastAsia="zh-CN"/>
        </w:rPr>
        <w:t>Moreover, it is  also suggested to confirm RAN3</w:t>
      </w:r>
      <w:r>
        <w:rPr>
          <w:rFonts w:hint="default"/>
          <w:lang w:val="en-US" w:eastAsia="zh-CN"/>
        </w:rPr>
        <w:t>’</w:t>
      </w:r>
      <w:r>
        <w:rPr>
          <w:rFonts w:hint="eastAsia"/>
          <w:lang w:val="en-US" w:eastAsia="zh-CN"/>
        </w:rPr>
        <w:t>s working assumption that no need to use RRC container (i.e., )for RVQoE report to avoid re-open the discussion.</w:t>
      </w:r>
    </w:p>
    <w:p>
      <w:pPr>
        <w:bidi w:val="0"/>
        <w:rPr>
          <w:rFonts w:hint="default" w:eastAsia="宋体"/>
          <w:b/>
          <w:bCs/>
          <w:lang w:val="en-US" w:eastAsia="zh-CN"/>
        </w:rPr>
      </w:pPr>
      <w:r>
        <w:rPr>
          <w:rFonts w:hint="eastAsia"/>
          <w:b/>
          <w:bCs/>
          <w:lang w:val="en-US" w:eastAsia="zh-CN"/>
        </w:rPr>
        <w:t xml:space="preserve">Proposal 3:  QoE report over </w:t>
      </w:r>
      <w:r>
        <w:rPr>
          <w:b/>
          <w:bCs/>
          <w:i/>
          <w:iCs/>
        </w:rPr>
        <w:t>ULInformationTransferMRDC</w:t>
      </w:r>
      <w:r>
        <w:rPr>
          <w:rFonts w:hint="eastAsia" w:eastAsia="宋体"/>
          <w:b/>
          <w:bCs/>
          <w:i/>
          <w:iCs/>
          <w:lang w:val="en-US" w:eastAsia="zh-CN"/>
        </w:rPr>
        <w:t xml:space="preserve"> </w:t>
      </w:r>
      <w:r>
        <w:rPr>
          <w:rFonts w:hint="eastAsia" w:eastAsia="宋体"/>
          <w:b/>
          <w:bCs/>
          <w:i w:val="0"/>
          <w:iCs w:val="0"/>
          <w:lang w:val="en-US" w:eastAsia="zh-CN"/>
        </w:rPr>
        <w:t xml:space="preserve">is not supported. </w:t>
      </w:r>
    </w:p>
    <w:p>
      <w:pPr>
        <w:pStyle w:val="3"/>
        <w:pBdr>
          <w:top w:val="none" w:color="auto" w:sz="0" w:space="3"/>
          <w:left w:val="none" w:color="auto" w:sz="0" w:space="0"/>
          <w:bottom w:val="none" w:color="auto" w:sz="0" w:space="0"/>
          <w:right w:val="none" w:color="auto" w:sz="0" w:space="0"/>
          <w:between w:val="none" w:color="auto" w:sz="0" w:space="0"/>
        </w:pBdr>
        <w:spacing w:line="360" w:lineRule="auto"/>
        <w:rPr>
          <w:rStyle w:val="25"/>
          <w:rFonts w:ascii="Arial" w:hAnsi="Arial" w:eastAsia="宋体" w:cs="Arial"/>
          <w:b/>
          <w:bCs/>
          <w:color w:val="auto"/>
          <w:lang w:eastAsia="zh-CN"/>
        </w:rPr>
      </w:pPr>
      <w:r>
        <w:rPr>
          <w:rStyle w:val="25"/>
          <w:rFonts w:hint="eastAsia" w:ascii="Arial" w:hAnsi="Arial" w:eastAsia="宋体" w:cs="Arial"/>
          <w:b/>
          <w:bCs/>
          <w:color w:val="auto"/>
          <w:lang w:val="en-US" w:eastAsia="zh-CN"/>
        </w:rPr>
        <w:t>QoE report in case SCG (de)activation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eastAsia"/>
                <w:b/>
                <w:bCs/>
                <w:highlight w:val="green"/>
                <w:lang w:val="en-US" w:eastAsia="zh-CN"/>
              </w:rPr>
            </w:pPr>
            <w:r>
              <w:rPr>
                <w:rFonts w:hint="eastAsia"/>
                <w:b/>
                <w:bCs/>
                <w:highlight w:val="green"/>
                <w:lang w:val="en-US" w:eastAsia="zh-CN"/>
              </w:rPr>
              <w:t>RAN2#123 Agreements</w:t>
            </w:r>
          </w:p>
          <w:p>
            <w:pPr>
              <w:numPr>
                <w:ilvl w:val="0"/>
                <w:numId w:val="8"/>
              </w:numPr>
              <w:bidi w:val="0"/>
              <w:rPr>
                <w:rFonts w:hint="default"/>
                <w:lang w:val="en-US" w:eastAsia="zh-CN"/>
              </w:rPr>
            </w:pPr>
            <w:r>
              <w:rPr>
                <w:rFonts w:hint="default"/>
                <w:lang w:val="en-US" w:eastAsia="zh-CN"/>
              </w:rPr>
              <w:t xml:space="preserve">Follow Rel-17 principles: UE indicates data availability for DRBs when requesting SCG activation. It is up to NW implementation to map SRB5 to MN or pause QoE reporting when SCG is deactivated. </w:t>
            </w:r>
            <w:r>
              <w:rPr>
                <w:rFonts w:hint="default"/>
                <w:color w:val="FF0000"/>
                <w:lang w:val="en-US" w:eastAsia="zh-CN"/>
              </w:rPr>
              <w:t>FFS whether this requires any specification impacts.</w:t>
            </w:r>
          </w:p>
          <w:p>
            <w:pPr>
              <w:numPr>
                <w:ilvl w:val="0"/>
                <w:numId w:val="8"/>
              </w:numPr>
              <w:bidi w:val="0"/>
              <w:rPr>
                <w:rFonts w:hint="default"/>
                <w:lang w:val="en-US" w:eastAsia="zh-CN"/>
              </w:rPr>
            </w:pPr>
            <w:r>
              <w:rPr>
                <w:rFonts w:hint="default"/>
                <w:lang w:val="en-US" w:eastAsia="zh-CN"/>
              </w:rPr>
              <w:t xml:space="preserve">UE should not request to activate SCG only for the purpose of QoE reporting via SRB5. </w:t>
            </w:r>
            <w:r>
              <w:rPr>
                <w:rFonts w:hint="default"/>
                <w:color w:val="FF0000"/>
                <w:lang w:val="en-US" w:eastAsia="zh-CN"/>
              </w:rPr>
              <w:t>FFS for RVQoE reporting.</w:t>
            </w:r>
          </w:p>
        </w:tc>
      </w:tr>
    </w:tbl>
    <w:p>
      <w:pPr>
        <w:rPr>
          <w:rFonts w:hint="eastAsia"/>
          <w:lang w:val="en-US" w:eastAsia="zh-CN"/>
        </w:rPr>
      </w:pPr>
      <w:r>
        <w:rPr>
          <w:rFonts w:hint="eastAsia"/>
          <w:lang w:val="en-US" w:eastAsia="zh-CN"/>
        </w:rPr>
        <w:t xml:space="preserve">Another pending issues is QoE report handling in case of SCG (de) activation, where above agreements have been made, with two ffs issues. </w:t>
      </w:r>
    </w:p>
    <w:p>
      <w:pPr>
        <w:pStyle w:val="66"/>
        <w:ind w:left="0" w:leftChars="0" w:firstLine="0" w:firstLineChars="0"/>
        <w:jc w:val="both"/>
        <w:rPr>
          <w:rFonts w:hint="eastAsia"/>
          <w:lang w:val="en-US" w:eastAsia="zh-CN"/>
        </w:rPr>
      </w:pPr>
      <w:r>
        <w:rPr>
          <w:rFonts w:hint="eastAsia"/>
          <w:lang w:val="en-US" w:eastAsia="zh-CN"/>
        </w:rPr>
        <w:t>According to current specs, when the SCG is in deactivated state and the UE has uplink data arriving, with the corresponding RLC bearer established, the UE can report the data volume on the corresponding DRB via UAI information. Noticed such behavior is only applied for DRB while QoE report is over SRB, so for this case there are no specs change needed.</w:t>
      </w:r>
    </w:p>
    <w:p>
      <w:pPr>
        <w:pStyle w:val="66"/>
        <w:ind w:left="0" w:leftChars="0" w:firstLine="0" w:firstLineChars="0"/>
        <w:jc w:val="both"/>
        <w:rPr>
          <w:rFonts w:hint="eastAsia"/>
          <w:b/>
          <w:bCs/>
          <w:lang w:val="en-US" w:eastAsia="zh-CN"/>
        </w:rPr>
      </w:pPr>
      <w:r>
        <w:rPr>
          <w:rFonts w:hint="eastAsia"/>
          <w:b/>
          <w:bCs/>
          <w:lang w:val="en-US" w:eastAsia="zh-CN"/>
        </w:rPr>
        <w:t>Observation 3: Current UAI only allows UE to report availability of DRB when SCG is deactivated, while QoE report is via SRB, therefore no specs change is needed to disallow UE to report availability of QoE report in UAI.</w:t>
      </w:r>
    </w:p>
    <w:p>
      <w:pPr>
        <w:pStyle w:val="66"/>
        <w:ind w:left="0" w:leftChars="0" w:firstLine="0" w:firstLineChars="0"/>
        <w:jc w:val="both"/>
        <w:rPr>
          <w:rFonts w:hint="eastAsia"/>
          <w:lang w:val="en-US" w:eastAsia="zh-CN"/>
        </w:rPr>
      </w:pPr>
      <w:r>
        <w:rPr>
          <w:rFonts w:hint="eastAsia"/>
          <w:lang w:val="en-US" w:eastAsia="zh-CN"/>
        </w:rPr>
        <w:t>But the remaining issues is on whether any enhancements are needed for QoE report in such case, including the case when there are available RVQoE report. In our understanding</w:t>
      </w:r>
      <w:r>
        <w:rPr>
          <w:rFonts w:hint="eastAsia" w:cs="Times New Roman"/>
          <w:bCs/>
          <w:lang w:val="en-US" w:eastAsia="zh-CN"/>
        </w:rPr>
        <w:t xml:space="preserve"> RVQoE </w:t>
      </w:r>
      <w:r>
        <w:rPr>
          <w:rFonts w:hint="eastAsia"/>
          <w:lang w:val="en-US" w:eastAsia="zh-CN"/>
        </w:rPr>
        <w:t>associated to SCG is for optimizing radio resource efficiency in SCG.  If NW has decides to deactivate the SCG, then for most the cases the RVQoE associated to SCG is useless and can be released by the NW when NW decides to deactivate SCG. Even for the case NW still know RVQoE maybe useful it is possible for NW to reconfigure UE to report RVQoE over SRB4, it seems no further enhancements are needed for RVQoE as well.</w:t>
      </w:r>
    </w:p>
    <w:p>
      <w:pPr>
        <w:pStyle w:val="66"/>
        <w:ind w:left="0" w:leftChars="0" w:firstLine="0" w:firstLineChars="0"/>
        <w:jc w:val="both"/>
        <w:rPr>
          <w:rFonts w:hint="eastAsia"/>
          <w:b/>
          <w:bCs/>
          <w:lang w:val="en-US" w:eastAsia="zh-CN"/>
        </w:rPr>
      </w:pPr>
      <w:r>
        <w:rPr>
          <w:rFonts w:hint="eastAsia"/>
          <w:b/>
          <w:bCs/>
          <w:lang w:val="en-US" w:eastAsia="zh-CN"/>
        </w:rPr>
        <w:t>Observation 4: RVQoE associated to SCG is mainly for optimizing radio configuration over SCG which is less  useful when SCG is deactivated.</w:t>
      </w:r>
    </w:p>
    <w:p>
      <w:pPr>
        <w:pStyle w:val="66"/>
        <w:ind w:left="0" w:leftChars="0" w:firstLine="0" w:firstLineChars="0"/>
        <w:jc w:val="both"/>
        <w:rPr>
          <w:rFonts w:hint="default"/>
          <w:b/>
          <w:bCs/>
          <w:lang w:val="en-US" w:eastAsia="zh-CN"/>
        </w:rPr>
      </w:pPr>
      <w:r>
        <w:rPr>
          <w:rFonts w:hint="eastAsia"/>
          <w:b/>
          <w:bCs/>
          <w:lang w:val="en-US" w:eastAsia="zh-CN"/>
        </w:rPr>
        <w:t>Observation 5: It is possible for NW to decide whether to release or reconfigure reporting leg for RVQoE based on implementation when deactivating SCG, no enhancements are needed.</w:t>
      </w:r>
    </w:p>
    <w:p>
      <w:pPr>
        <w:pStyle w:val="66"/>
        <w:ind w:left="0" w:leftChars="0" w:firstLine="0" w:firstLineChars="0"/>
        <w:jc w:val="both"/>
        <w:rPr>
          <w:rFonts w:hint="eastAsia"/>
          <w:lang w:val="en-US" w:eastAsia="zh-CN"/>
        </w:rPr>
      </w:pPr>
      <w:r>
        <w:rPr>
          <w:rFonts w:hint="eastAsia"/>
          <w:lang w:val="en-US" w:eastAsia="zh-CN"/>
        </w:rPr>
        <w:t xml:space="preserve">Therefore, based on above analysis, it is unnecessary to allow UE to request deactivate SCG for the purpose of RVQoE reporting via SRB5. </w:t>
      </w:r>
    </w:p>
    <w:p>
      <w:pPr>
        <w:pStyle w:val="66"/>
        <w:ind w:left="0" w:leftChars="0" w:firstLine="0" w:firstLineChars="0"/>
        <w:jc w:val="both"/>
        <w:rPr>
          <w:rFonts w:hint="eastAsia"/>
          <w:b/>
          <w:bCs/>
          <w:lang w:val="en-US" w:eastAsia="zh-CN"/>
        </w:rPr>
      </w:pPr>
      <w:r>
        <w:rPr>
          <w:rFonts w:hint="eastAsia"/>
          <w:b/>
          <w:bCs/>
          <w:lang w:val="en-US" w:eastAsia="zh-CN"/>
        </w:rPr>
        <w:t xml:space="preserve">Proposal 4: UE should not request to activate SCG only for the purpose of RVQoE reporting via SRB5. </w:t>
      </w:r>
    </w:p>
    <w:p>
      <w:pPr>
        <w:pStyle w:val="66"/>
        <w:ind w:left="0" w:leftChars="0" w:firstLine="0" w:firstLineChars="0"/>
        <w:jc w:val="both"/>
        <w:rPr>
          <w:rFonts w:hint="default"/>
          <w:b/>
          <w:bCs/>
          <w:lang w:val="en-US" w:eastAsia="zh-CN"/>
        </w:rPr>
      </w:pPr>
      <w:r>
        <w:rPr>
          <w:rFonts w:hint="eastAsia"/>
          <w:b/>
          <w:bCs/>
          <w:lang w:val="en-US" w:eastAsia="zh-CN"/>
        </w:rPr>
        <w:t>Proposal 5: For RVQoE, i</w:t>
      </w:r>
      <w:r>
        <w:rPr>
          <w:rFonts w:hint="default"/>
          <w:b/>
          <w:bCs/>
          <w:lang w:val="en-US" w:eastAsia="zh-CN"/>
        </w:rPr>
        <w:t xml:space="preserve">t is up to NW implementation to </w:t>
      </w:r>
      <w:r>
        <w:rPr>
          <w:rFonts w:hint="eastAsia"/>
          <w:b/>
          <w:bCs/>
          <w:lang w:val="en-US" w:eastAsia="zh-CN"/>
        </w:rPr>
        <w:t>release the configuration or</w:t>
      </w:r>
      <w:r>
        <w:rPr>
          <w:rFonts w:hint="default"/>
          <w:b/>
          <w:bCs/>
          <w:lang w:val="en-US" w:eastAsia="zh-CN"/>
        </w:rPr>
        <w:t xml:space="preserve"> </w:t>
      </w:r>
      <w:r>
        <w:rPr>
          <w:rFonts w:hint="eastAsia"/>
          <w:b/>
          <w:bCs/>
          <w:lang w:val="en-US" w:eastAsia="zh-CN"/>
        </w:rPr>
        <w:t>reconfigure the reporting bearers to SRB4 when</w:t>
      </w:r>
      <w:r>
        <w:rPr>
          <w:rFonts w:hint="default"/>
          <w:b/>
          <w:bCs/>
          <w:lang w:val="en-US" w:eastAsia="zh-CN"/>
        </w:rPr>
        <w:t xml:space="preserve"> </w:t>
      </w:r>
      <w:r>
        <w:rPr>
          <w:rFonts w:hint="eastAsia"/>
          <w:b/>
          <w:bCs/>
          <w:lang w:val="en-US" w:eastAsia="zh-CN"/>
        </w:rPr>
        <w:t xml:space="preserve"> deactivating</w:t>
      </w:r>
      <w:r>
        <w:rPr>
          <w:rFonts w:hint="default"/>
          <w:b/>
          <w:bCs/>
          <w:lang w:val="en-US" w:eastAsia="zh-CN"/>
        </w:rPr>
        <w:t xml:space="preserve"> SCG.</w:t>
      </w:r>
      <w:r>
        <w:rPr>
          <w:rFonts w:hint="eastAsia"/>
          <w:b/>
          <w:bCs/>
          <w:lang w:val="en-US" w:eastAsia="zh-CN"/>
        </w:rPr>
        <w:t xml:space="preserve"> </w:t>
      </w:r>
    </w:p>
    <w:p>
      <w:pPr>
        <w:bidi w:val="0"/>
        <w:rPr>
          <w:rFonts w:hint="eastAsia"/>
          <w:lang w:val="en-US" w:eastAsia="zh-CN"/>
        </w:rPr>
      </w:pPr>
      <w:r>
        <w:rPr>
          <w:rFonts w:hint="eastAsia"/>
          <w:lang w:val="en-US" w:eastAsia="zh-CN"/>
        </w:rPr>
        <w:t>Another use case that may need some clarification is to indicate SCG deactivation preference via UAI. In current specs, it is allowed for UE to ask to deactivate SCG via UAI when SCG is activated.  During which is there are other reasons (e.g., arrival of data)  that lead to change of UE preference on SCG deactivation UE can initiate UAI again to indicate cancelling the request to SCG deactivation by no preference. Furthermore an prohibit timer T346i has been introduce to avoid frequent SCG deactivation preference report via UAI.</w:t>
      </w:r>
    </w:p>
    <w:p>
      <w:pPr>
        <w:pStyle w:val="66"/>
        <w:ind w:left="0" w:leftChars="0" w:firstLine="0" w:firstLineChars="0"/>
        <w:jc w:val="both"/>
        <w:rPr>
          <w:rFonts w:hint="eastAsia" w:ascii="Times New Roman" w:hAnsi="Times New Roman"/>
          <w:b/>
          <w:bCs/>
          <w:lang w:val="en-US" w:eastAsia="zh-CN"/>
        </w:rPr>
      </w:pPr>
      <w:r>
        <w:rPr>
          <w:rFonts w:hint="eastAsia"/>
          <w:b/>
          <w:bCs/>
          <w:lang w:val="en-US" w:eastAsia="zh-CN"/>
        </w:rPr>
        <w:t xml:space="preserve">Observation 6: </w:t>
      </w:r>
      <w:r>
        <w:rPr>
          <w:rFonts w:hint="eastAsia" w:ascii="Times New Roman" w:hAnsi="Times New Roman"/>
          <w:b/>
          <w:bCs/>
          <w:lang w:val="en-US" w:eastAsia="zh-CN"/>
        </w:rPr>
        <w:t>Current specs allows UE to inform NW it</w:t>
      </w:r>
      <w:r>
        <w:rPr>
          <w:rFonts w:hint="default" w:ascii="Times New Roman" w:hAnsi="Times New Roman"/>
          <w:b/>
          <w:bCs/>
          <w:lang w:val="en-US" w:eastAsia="zh-CN"/>
        </w:rPr>
        <w:t>’</w:t>
      </w:r>
      <w:r>
        <w:rPr>
          <w:rFonts w:hint="eastAsia" w:ascii="Times New Roman" w:hAnsi="Times New Roman"/>
          <w:b/>
          <w:bCs/>
          <w:lang w:val="en-US" w:eastAsia="zh-CN"/>
        </w:rPr>
        <w:t>s preference to  deactivate SCG or cancel the request for SCG deactivation via UAI, which is controlled by T346i timer to avoid too frequent UAI report for this purpose.</w:t>
      </w:r>
    </w:p>
    <w:p>
      <w:pPr>
        <w:jc w:val="both"/>
        <w:rPr>
          <w:rFonts w:hint="eastAsia" w:cs="Times New Roman"/>
          <w:bCs/>
          <w:lang w:val="en-US" w:eastAsia="zh-CN"/>
        </w:rPr>
      </w:pPr>
      <w:r>
        <w:rPr>
          <w:rFonts w:hint="eastAsia" w:cs="Times New Roman"/>
          <w:bCs/>
          <w:lang w:val="en-US" w:eastAsia="zh-CN"/>
        </w:rPr>
        <w:t>In case a UE has already initiated a deactivation SCG request to NW and subsequently it needs to report QoE measurements,  whether it is allowed for UE to change the deactivtaion preference is not discussed. Considering that QoE reporting is of lower priority, i.e., lower than the UE</w:t>
      </w:r>
      <w:r>
        <w:rPr>
          <w:rFonts w:hint="default" w:cs="Times New Roman"/>
          <w:bCs/>
          <w:lang w:val="en-US" w:eastAsia="zh-CN"/>
        </w:rPr>
        <w:t>’</w:t>
      </w:r>
      <w:r>
        <w:rPr>
          <w:rFonts w:hint="eastAsia" w:cs="Times New Roman"/>
          <w:bCs/>
          <w:lang w:val="en-US" w:eastAsia="zh-CN"/>
        </w:rPr>
        <w:t>s power-saving requirements, it is seems unnecessary for the UE to modify SCG deactivation requests based on UAI for purpose of UE QoE reporting.</w:t>
      </w:r>
    </w:p>
    <w:p>
      <w:pPr>
        <w:jc w:val="both"/>
        <w:rPr>
          <w:rFonts w:hint="default" w:cs="Times New Roman"/>
          <w:b/>
          <w:bCs w:val="0"/>
          <w:lang w:val="en-US" w:eastAsia="zh-CN"/>
        </w:rPr>
      </w:pPr>
      <w:r>
        <w:rPr>
          <w:rFonts w:hint="eastAsia" w:cs="Times New Roman"/>
          <w:b/>
          <w:bCs w:val="0"/>
          <w:lang w:val="en-US" w:eastAsia="zh-CN"/>
        </w:rPr>
        <w:t>Observation 7: SCG deactivation is for UE power saving which has higher priority than QoE report, therefore it is unncessary for UE to change SCG deactivation preference via UAI only for QoE reporting purpose.</w:t>
      </w:r>
    </w:p>
    <w:p>
      <w:pPr>
        <w:jc w:val="both"/>
        <w:rPr>
          <w:rFonts w:hint="eastAsia" w:cs="Times New Roman"/>
          <w:bCs/>
          <w:lang w:val="en-US" w:eastAsia="zh-CN"/>
        </w:rPr>
      </w:pPr>
      <w:r>
        <w:rPr>
          <w:rFonts w:hint="eastAsia" w:cs="Times New Roman"/>
          <w:bCs/>
          <w:lang w:val="en-US" w:eastAsia="zh-CN"/>
        </w:rPr>
        <w:t>Then the next issue is on whether it needs some restriction in specs to disallowed the UE to modify its preference through UAI, and how? In order to avoid unnecessary UAI report, it is preferred to have some restriction in the specs. Considering that the UE</w:t>
      </w:r>
      <w:r>
        <w:rPr>
          <w:rFonts w:hint="default" w:cs="Times New Roman"/>
          <w:bCs/>
          <w:lang w:val="en-US" w:eastAsia="zh-CN"/>
        </w:rPr>
        <w:t>’</w:t>
      </w:r>
      <w:r>
        <w:rPr>
          <w:rFonts w:hint="eastAsia" w:cs="Times New Roman"/>
          <w:bCs/>
          <w:lang w:val="en-US" w:eastAsia="zh-CN"/>
        </w:rPr>
        <w:t>s preference for deactivating the SCG via UAI is based on UE implementation, then a note on the specs should be sufficient to meet the requirements. Therefore it is propose:</w:t>
      </w:r>
    </w:p>
    <w:p>
      <w:pPr>
        <w:jc w:val="both"/>
        <w:rPr>
          <w:rFonts w:hint="eastAsia" w:eastAsia="宋体" w:cs="Times New Roman"/>
          <w:b/>
          <w:bCs w:val="0"/>
          <w:highlight w:val="none"/>
          <w:lang w:val="en-US" w:eastAsia="zh-CN"/>
        </w:rPr>
      </w:pPr>
      <w:r>
        <w:rPr>
          <w:rFonts w:hint="eastAsia" w:cs="Times New Roman"/>
          <w:b/>
          <w:bCs w:val="0"/>
          <w:highlight w:val="none"/>
          <w:lang w:val="en-US" w:eastAsia="zh-CN"/>
        </w:rPr>
        <w:t xml:space="preserve">Proposal 6: Capture in subclause 5.7.4.2 a note indicating that </w:t>
      </w:r>
      <w:r>
        <w:rPr>
          <w:rFonts w:hint="eastAsia" w:ascii="Times New Roman" w:hAnsi="Times New Roman" w:eastAsia="宋体" w:cs="Times New Roman"/>
          <w:b/>
          <w:bCs w:val="0"/>
          <w:highlight w:val="none"/>
          <w:lang w:val="en-US" w:eastAsia="zh-CN" w:bidi="ar-SA"/>
        </w:rPr>
        <w:t>UE is not expected to initiate UAI to indicate change of SCG deactivation preference only for the purpose of QoE reporting via SRB5</w:t>
      </w:r>
      <w:r>
        <w:rPr>
          <w:rFonts w:ascii="Times New Roman" w:hAnsi="Times New Roman" w:eastAsia="Times New Roman" w:cs="Times New Roman"/>
          <w:b/>
          <w:bCs w:val="0"/>
          <w:highlight w:val="none"/>
          <w:lang w:val="en-GB" w:eastAsia="ja-JP" w:bidi="ar-SA"/>
        </w:rPr>
        <w:t>.</w:t>
      </w:r>
    </w:p>
    <w:p>
      <w:pPr>
        <w:pStyle w:val="13"/>
        <w:rPr>
          <w:rFonts w:hint="eastAsia" w:ascii="Times New Roman" w:hAnsi="Times New Roman" w:cs="Times New Roman" w:eastAsiaTheme="minorEastAsia"/>
          <w:b/>
          <w:bCs w:val="0"/>
          <w:sz w:val="20"/>
          <w:szCs w:val="22"/>
          <w:lang w:val="en-US" w:eastAsia="zh-CN" w:bidi="ar-SA"/>
        </w:rPr>
      </w:pPr>
    </w:p>
    <w:bookmarkEnd w:id="0"/>
    <w:p>
      <w:pPr>
        <w:pStyle w:val="2"/>
        <w:rPr>
          <w:rFonts w:cs="Arial"/>
          <w:b/>
          <w:lang w:val="en-US"/>
        </w:rPr>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pPr>
      <w:bookmarkStart w:id="1" w:name="_Hlk83889356"/>
      <w:bookmarkStart w:id="2" w:name="_Hlk83889312"/>
    </w:p>
    <w:p>
      <w:pPr>
        <w:pStyle w:val="2"/>
        <w:rPr>
          <w:rFonts w:cs="Arial"/>
          <w:b/>
          <w:lang w:val="en-US"/>
        </w:rPr>
      </w:pPr>
      <w:r>
        <w:rPr>
          <w:rFonts w:cs="Arial"/>
          <w:b/>
          <w:lang w:val="en-US"/>
        </w:rPr>
        <w:t>Conclusion</w:t>
      </w:r>
    </w:p>
    <w:bookmarkEnd w:id="1"/>
    <w:p>
      <w:pPr>
        <w:pStyle w:val="13"/>
        <w:rPr>
          <w:rFonts w:ascii="Times New Roman" w:hAnsi="Times New Roman" w:cs="Times New Roman"/>
        </w:rPr>
      </w:pPr>
      <w:r>
        <w:rPr>
          <w:rFonts w:ascii="Times New Roman" w:hAnsi="Times New Roman" w:cs="Times New Roman"/>
        </w:rPr>
        <w:t xml:space="preserve">In </w:t>
      </w:r>
      <w:bookmarkStart w:id="3" w:name="_Hlk83889481"/>
      <w:r>
        <w:rPr>
          <w:rFonts w:ascii="Times New Roman" w:hAnsi="Times New Roman" w:cs="Times New Roman"/>
        </w:rPr>
        <w:t xml:space="preserve">previous sections, the following observations and proposals were made: </w:t>
      </w:r>
    </w:p>
    <w:p>
      <w:pPr>
        <w:bidi w:val="0"/>
        <w:rPr>
          <w:rFonts w:hint="default" w:ascii="Times New Roman" w:hAnsi="Times New Roman"/>
          <w:b/>
          <w:bCs/>
          <w:u w:val="single"/>
          <w:lang w:val="en-US" w:eastAsia="zh-CN"/>
        </w:rPr>
      </w:pPr>
      <w:r>
        <w:rPr>
          <w:rFonts w:hint="eastAsia" w:ascii="Times New Roman" w:hAnsi="Times New Roman"/>
          <w:b/>
          <w:bCs/>
          <w:u w:val="single"/>
          <w:lang w:val="en-US" w:eastAsia="zh-CN"/>
        </w:rPr>
        <w:t>RAN3 LS relevant</w:t>
      </w:r>
    </w:p>
    <w:p>
      <w:pPr>
        <w:pStyle w:val="66"/>
        <w:ind w:left="0" w:leftChars="0" w:firstLine="0" w:firstLineChars="0"/>
        <w:jc w:val="both"/>
        <w:rPr>
          <w:rFonts w:hint="default" w:cs="Times New Roman"/>
          <w:b/>
          <w:bCs w:val="0"/>
          <w:highlight w:val="none"/>
          <w:lang w:val="en-US" w:eastAsia="zh-CN"/>
        </w:rPr>
      </w:pPr>
      <w:r>
        <w:rPr>
          <w:rFonts w:hint="eastAsia" w:cs="Times New Roman"/>
          <w:b/>
          <w:bCs w:val="0"/>
          <w:highlight w:val="none"/>
          <w:lang w:val="en-US" w:eastAsia="zh-CN"/>
        </w:rPr>
        <w:t xml:space="preserve">Proposal 1: An explicit indication is introduced to indicate </w:t>
      </w:r>
      <w:r>
        <w:rPr>
          <w:rFonts w:hint="default" w:cs="Times New Roman"/>
          <w:b/>
          <w:bCs w:val="0"/>
          <w:highlight w:val="none"/>
          <w:lang w:val="en-US" w:eastAsia="zh-CN"/>
        </w:rPr>
        <w:t>which bearer should be used for RVQoE reporting per QoE configuration.</w:t>
      </w:r>
    </w:p>
    <w:p>
      <w:pPr>
        <w:pStyle w:val="66"/>
        <w:ind w:left="0" w:leftChars="0" w:firstLine="0" w:firstLineChars="0"/>
        <w:jc w:val="both"/>
        <w:rPr>
          <w:rFonts w:hint="eastAsia"/>
          <w:b w:val="0"/>
          <w:bCs/>
          <w:i/>
          <w:iCs/>
          <w:lang w:val="en-US" w:eastAsia="zh-CN"/>
        </w:rPr>
      </w:pPr>
      <w:r>
        <w:rPr>
          <w:rFonts w:hint="eastAsia" w:cs="Times New Roman"/>
          <w:b w:val="0"/>
          <w:bCs/>
          <w:i/>
          <w:iCs/>
          <w:highlight w:val="none"/>
          <w:lang w:val="en-US" w:eastAsia="zh-CN"/>
        </w:rPr>
        <w:t xml:space="preserve">Observation 1: RAN2 reached an WA that  </w:t>
      </w:r>
      <w:r>
        <w:rPr>
          <w:rFonts w:hint="eastAsia"/>
          <w:b w:val="0"/>
          <w:bCs/>
          <w:i/>
          <w:iCs/>
          <w:lang w:val="en-US" w:eastAsia="zh-CN"/>
        </w:rPr>
        <w:t xml:space="preserve">MeasurementReportAppLayer is used for encapsulated QoE report of non-receiving node to the receiving node, with the intention to reuse the solution for </w:t>
      </w:r>
      <w:r>
        <w:rPr>
          <w:rFonts w:hint="eastAsia" w:cs="Times New Roman"/>
          <w:b w:val="0"/>
          <w:bCs/>
          <w:i/>
          <w:iCs/>
          <w:highlight w:val="none"/>
          <w:lang w:val="en-US" w:eastAsia="zh-CN"/>
        </w:rPr>
        <w:t>RVQoE, with feasibility to be confirmed by RAN3.</w:t>
      </w:r>
    </w:p>
    <w:p>
      <w:pPr>
        <w:pStyle w:val="66"/>
        <w:ind w:left="0" w:leftChars="0" w:firstLine="0" w:firstLineChars="0"/>
        <w:jc w:val="both"/>
        <w:rPr>
          <w:rFonts w:hint="eastAsia" w:cs="Times New Roman"/>
          <w:b w:val="0"/>
          <w:bCs/>
          <w:i/>
          <w:iCs/>
          <w:highlight w:val="none"/>
          <w:lang w:val="en-US" w:eastAsia="zh-CN"/>
        </w:rPr>
      </w:pPr>
      <w:r>
        <w:rPr>
          <w:rFonts w:hint="eastAsia" w:cs="Times New Roman"/>
          <w:b w:val="0"/>
          <w:bCs/>
          <w:i/>
          <w:iCs/>
          <w:highlight w:val="none"/>
          <w:lang w:val="en-US" w:eastAsia="zh-CN"/>
        </w:rPr>
        <w:t xml:space="preserve">Observation 2:  RAN3 has reached working assumption that RVQoE report transparently over RRC is not support. </w:t>
      </w:r>
    </w:p>
    <w:p>
      <w:pPr>
        <w:bidi w:val="0"/>
        <w:rPr>
          <w:rFonts w:hint="eastAsia"/>
          <w:b/>
          <w:bCs/>
          <w:lang w:val="en-US" w:eastAsia="zh-CN"/>
        </w:rPr>
      </w:pPr>
      <w:r>
        <w:rPr>
          <w:rFonts w:hint="eastAsia"/>
          <w:b/>
          <w:bCs/>
          <w:lang w:val="en-US" w:eastAsia="zh-CN"/>
        </w:rPr>
        <w:t>Proposal 2:  QoE report (e.g., either encapsulated QoE or RVQoE) associated with the non-receiving RAN node, can be send to the receiving RAN node via MeasurementReportAppLayer message if configured by NW.</w:t>
      </w:r>
    </w:p>
    <w:p>
      <w:pPr>
        <w:bidi w:val="0"/>
        <w:rPr>
          <w:rFonts w:hint="default" w:eastAsia="宋体"/>
          <w:b/>
          <w:bCs/>
          <w:i w:val="0"/>
          <w:iCs w:val="0"/>
          <w:lang w:val="en-US" w:eastAsia="zh-CN"/>
        </w:rPr>
      </w:pPr>
      <w:r>
        <w:rPr>
          <w:rFonts w:hint="eastAsia"/>
          <w:b/>
          <w:bCs/>
          <w:lang w:val="en-US" w:eastAsia="zh-CN"/>
        </w:rPr>
        <w:t xml:space="preserve">Proposal 3:  QoE report over </w:t>
      </w:r>
      <w:r>
        <w:rPr>
          <w:b/>
          <w:bCs/>
          <w:i/>
          <w:iCs/>
        </w:rPr>
        <w:t>ULInformationTransferMRDC</w:t>
      </w:r>
      <w:r>
        <w:rPr>
          <w:rFonts w:hint="eastAsia" w:eastAsia="宋体"/>
          <w:b/>
          <w:bCs/>
          <w:i/>
          <w:iCs/>
          <w:lang w:val="en-US" w:eastAsia="zh-CN"/>
        </w:rPr>
        <w:t xml:space="preserve"> </w:t>
      </w:r>
      <w:r>
        <w:rPr>
          <w:rFonts w:hint="eastAsia" w:eastAsia="宋体"/>
          <w:b/>
          <w:bCs/>
          <w:i w:val="0"/>
          <w:iCs w:val="0"/>
          <w:lang w:val="en-US" w:eastAsia="zh-CN"/>
        </w:rPr>
        <w:t>is not supported.</w:t>
      </w:r>
    </w:p>
    <w:p>
      <w:pPr>
        <w:bidi w:val="0"/>
        <w:rPr>
          <w:rFonts w:hint="default" w:eastAsia="宋体"/>
          <w:b/>
          <w:bCs/>
          <w:i w:val="0"/>
          <w:iCs w:val="0"/>
          <w:lang w:val="en-US" w:eastAsia="zh-CN"/>
        </w:rPr>
      </w:pPr>
    </w:p>
    <w:p>
      <w:pPr>
        <w:bidi w:val="0"/>
        <w:rPr>
          <w:b/>
          <w:bCs/>
          <w:u w:val="single"/>
          <w:lang w:eastAsia="zh-CN"/>
        </w:rPr>
      </w:pPr>
      <w:r>
        <w:rPr>
          <w:rFonts w:hint="eastAsia"/>
          <w:b/>
          <w:bCs/>
          <w:u w:val="single"/>
          <w:lang w:val="en-US" w:eastAsia="zh-CN"/>
        </w:rPr>
        <w:t>QoE report in case SCG (de)activation</w:t>
      </w:r>
    </w:p>
    <w:p>
      <w:pPr>
        <w:pStyle w:val="66"/>
        <w:ind w:left="0" w:leftChars="0" w:firstLine="0" w:firstLineChars="0"/>
        <w:jc w:val="both"/>
        <w:rPr>
          <w:rFonts w:hint="eastAsia"/>
          <w:b w:val="0"/>
          <w:bCs w:val="0"/>
          <w:i/>
          <w:iCs/>
          <w:lang w:val="en-US" w:eastAsia="zh-CN"/>
        </w:rPr>
      </w:pPr>
      <w:r>
        <w:rPr>
          <w:rFonts w:hint="eastAsia"/>
          <w:b w:val="0"/>
          <w:bCs w:val="0"/>
          <w:i/>
          <w:iCs/>
          <w:lang w:val="en-US" w:eastAsia="zh-CN"/>
        </w:rPr>
        <w:t>Observation 3: Current UAI only allows UE to report availability of DRB when SCG is deactivated, while QoE report is via SRB, therefore no specs change is needed to disallow UE to report availability of QoE report in UAI.</w:t>
      </w:r>
    </w:p>
    <w:p>
      <w:pPr>
        <w:pStyle w:val="66"/>
        <w:ind w:left="0" w:leftChars="0" w:firstLine="0" w:firstLineChars="0"/>
        <w:jc w:val="both"/>
        <w:rPr>
          <w:rFonts w:hint="eastAsia"/>
          <w:b w:val="0"/>
          <w:bCs w:val="0"/>
          <w:i/>
          <w:iCs/>
          <w:lang w:val="en-US" w:eastAsia="zh-CN"/>
        </w:rPr>
      </w:pPr>
      <w:r>
        <w:rPr>
          <w:rFonts w:hint="eastAsia"/>
          <w:b w:val="0"/>
          <w:bCs w:val="0"/>
          <w:i/>
          <w:iCs/>
          <w:lang w:val="en-US" w:eastAsia="zh-CN"/>
        </w:rPr>
        <w:t>Observation 4: RVQoE associated to SCG is mainly for optimizing radio configuration over SCG which is less useful when SCG is deactivated.</w:t>
      </w:r>
    </w:p>
    <w:p>
      <w:pPr>
        <w:pStyle w:val="66"/>
        <w:ind w:left="0" w:leftChars="0" w:firstLine="0" w:firstLineChars="0"/>
        <w:jc w:val="both"/>
        <w:rPr>
          <w:rFonts w:hint="default"/>
          <w:b w:val="0"/>
          <w:bCs w:val="0"/>
          <w:i/>
          <w:iCs/>
          <w:lang w:val="en-US" w:eastAsia="zh-CN"/>
        </w:rPr>
      </w:pPr>
      <w:r>
        <w:rPr>
          <w:rFonts w:hint="eastAsia"/>
          <w:b w:val="0"/>
          <w:bCs w:val="0"/>
          <w:i/>
          <w:iCs/>
          <w:lang w:val="en-US" w:eastAsia="zh-CN"/>
        </w:rPr>
        <w:t>Observation 5: It is possible for NW to decide whether to release or reconfigure reporting leg for RVQoE based on implementation when deactivating SCG, no enhancements are needed.</w:t>
      </w:r>
    </w:p>
    <w:p>
      <w:pPr>
        <w:pStyle w:val="66"/>
        <w:ind w:left="0" w:leftChars="0" w:firstLine="0" w:firstLineChars="0"/>
        <w:jc w:val="both"/>
        <w:rPr>
          <w:rFonts w:hint="eastAsia"/>
          <w:b/>
          <w:bCs/>
          <w:lang w:val="en-US" w:eastAsia="zh-CN"/>
        </w:rPr>
      </w:pPr>
      <w:r>
        <w:rPr>
          <w:rFonts w:hint="eastAsia"/>
          <w:b/>
          <w:bCs/>
          <w:lang w:val="en-US" w:eastAsia="zh-CN"/>
        </w:rPr>
        <w:t xml:space="preserve">Proposal 4: UE should not request to activate SCG only for the purpose of RVQoE reporting via SRB5. </w:t>
      </w:r>
    </w:p>
    <w:p>
      <w:pPr>
        <w:pStyle w:val="66"/>
        <w:ind w:left="0" w:leftChars="0" w:firstLine="0" w:firstLineChars="0"/>
        <w:jc w:val="both"/>
        <w:rPr>
          <w:rFonts w:hint="eastAsia"/>
          <w:b/>
          <w:bCs/>
          <w:lang w:val="en-US" w:eastAsia="zh-CN"/>
        </w:rPr>
      </w:pPr>
      <w:r>
        <w:rPr>
          <w:rFonts w:hint="eastAsia"/>
          <w:b/>
          <w:bCs/>
          <w:lang w:val="en-US" w:eastAsia="zh-CN"/>
        </w:rPr>
        <w:t>Proposal 5: For RVQoE, i</w:t>
      </w:r>
      <w:r>
        <w:rPr>
          <w:rFonts w:hint="default"/>
          <w:b/>
          <w:bCs/>
          <w:lang w:val="en-US" w:eastAsia="zh-CN"/>
        </w:rPr>
        <w:t xml:space="preserve">t is up to NW implementation to </w:t>
      </w:r>
      <w:r>
        <w:rPr>
          <w:rFonts w:hint="eastAsia"/>
          <w:b/>
          <w:bCs/>
          <w:lang w:val="en-US" w:eastAsia="zh-CN"/>
        </w:rPr>
        <w:t>release the configuration or</w:t>
      </w:r>
      <w:r>
        <w:rPr>
          <w:rFonts w:hint="default"/>
          <w:b/>
          <w:bCs/>
          <w:lang w:val="en-US" w:eastAsia="zh-CN"/>
        </w:rPr>
        <w:t xml:space="preserve"> </w:t>
      </w:r>
      <w:r>
        <w:rPr>
          <w:rFonts w:hint="eastAsia"/>
          <w:b/>
          <w:bCs/>
          <w:lang w:val="en-US" w:eastAsia="zh-CN"/>
        </w:rPr>
        <w:t>reconfigure the reporting bearers to SRB4 when</w:t>
      </w:r>
      <w:r>
        <w:rPr>
          <w:rFonts w:hint="default"/>
          <w:b/>
          <w:bCs/>
          <w:lang w:val="en-US" w:eastAsia="zh-CN"/>
        </w:rPr>
        <w:t xml:space="preserve"> </w:t>
      </w:r>
      <w:r>
        <w:rPr>
          <w:rFonts w:hint="eastAsia"/>
          <w:b/>
          <w:bCs/>
          <w:lang w:val="en-US" w:eastAsia="zh-CN"/>
        </w:rPr>
        <w:t xml:space="preserve"> deactivating</w:t>
      </w:r>
      <w:r>
        <w:rPr>
          <w:rFonts w:hint="default"/>
          <w:b/>
          <w:bCs/>
          <w:lang w:val="en-US" w:eastAsia="zh-CN"/>
        </w:rPr>
        <w:t xml:space="preserve"> SCG.</w:t>
      </w:r>
      <w:r>
        <w:rPr>
          <w:rFonts w:hint="eastAsia"/>
          <w:b/>
          <w:bCs/>
          <w:lang w:val="en-US" w:eastAsia="zh-CN"/>
        </w:rPr>
        <w:t xml:space="preserve"> </w:t>
      </w:r>
    </w:p>
    <w:p>
      <w:pPr>
        <w:pStyle w:val="66"/>
        <w:ind w:left="0" w:leftChars="0" w:firstLine="0" w:firstLineChars="0"/>
        <w:jc w:val="both"/>
        <w:rPr>
          <w:rFonts w:hint="eastAsia"/>
          <w:b w:val="0"/>
          <w:bCs w:val="0"/>
          <w:i/>
          <w:iCs/>
          <w:lang w:val="en-US" w:eastAsia="zh-CN"/>
        </w:rPr>
      </w:pPr>
      <w:r>
        <w:rPr>
          <w:rFonts w:hint="eastAsia"/>
          <w:b w:val="0"/>
          <w:bCs w:val="0"/>
          <w:i/>
          <w:iCs/>
          <w:lang w:val="en-US" w:eastAsia="zh-CN"/>
        </w:rPr>
        <w:t>Observation 6: Current specs allows UE to inform NW it</w:t>
      </w:r>
      <w:r>
        <w:rPr>
          <w:rFonts w:hint="default"/>
          <w:b w:val="0"/>
          <w:bCs w:val="0"/>
          <w:i/>
          <w:iCs/>
          <w:lang w:val="en-US" w:eastAsia="zh-CN"/>
        </w:rPr>
        <w:t>’</w:t>
      </w:r>
      <w:r>
        <w:rPr>
          <w:rFonts w:hint="eastAsia"/>
          <w:b w:val="0"/>
          <w:bCs w:val="0"/>
          <w:i/>
          <w:iCs/>
          <w:lang w:val="en-US" w:eastAsia="zh-CN"/>
        </w:rPr>
        <w:t>s preference to  deactivate SCG or cancel the request for SCG deactivation via UAI, which is controlled by T346i timer to avoid too frequent UAI report for this purpose.</w:t>
      </w:r>
    </w:p>
    <w:p>
      <w:pPr>
        <w:jc w:val="both"/>
        <w:rPr>
          <w:rFonts w:hint="default" w:cs="Times New Roman"/>
          <w:b w:val="0"/>
          <w:bCs w:val="0"/>
          <w:i/>
          <w:iCs/>
          <w:lang w:val="en-US" w:eastAsia="zh-CN"/>
        </w:rPr>
      </w:pPr>
      <w:r>
        <w:rPr>
          <w:rFonts w:hint="eastAsia" w:cs="Times New Roman"/>
          <w:b w:val="0"/>
          <w:bCs w:val="0"/>
          <w:i/>
          <w:iCs/>
          <w:lang w:val="en-US" w:eastAsia="zh-CN"/>
        </w:rPr>
        <w:t>Observation 7: SCG deactivation is for UE power saving which has higher priority than QoE report, therefore it is unncessary for UE to change SCG deactivation preference via UAI only for QoE reporting purpose.</w:t>
      </w:r>
    </w:p>
    <w:p>
      <w:pPr>
        <w:jc w:val="both"/>
        <w:rPr>
          <w:rFonts w:ascii="Times New Roman" w:hAnsi="Times New Roman" w:eastAsia="Times New Roman" w:cs="Times New Roman"/>
          <w:b/>
          <w:bCs w:val="0"/>
          <w:highlight w:val="none"/>
          <w:lang w:val="en-GB" w:eastAsia="ja-JP" w:bidi="ar-SA"/>
        </w:rPr>
      </w:pPr>
      <w:r>
        <w:rPr>
          <w:rFonts w:hint="eastAsia" w:cs="Times New Roman"/>
          <w:b/>
          <w:bCs w:val="0"/>
          <w:highlight w:val="none"/>
          <w:lang w:val="en-US" w:eastAsia="zh-CN"/>
        </w:rPr>
        <w:t xml:space="preserve">Proposal 6: Capture in subclause 5.7.4.2 a note indicating that </w:t>
      </w:r>
      <w:r>
        <w:rPr>
          <w:rFonts w:hint="eastAsia" w:ascii="Times New Roman" w:hAnsi="Times New Roman" w:eastAsia="宋体" w:cs="Times New Roman"/>
          <w:b/>
          <w:bCs w:val="0"/>
          <w:highlight w:val="none"/>
          <w:lang w:val="en-US" w:eastAsia="zh-CN" w:bidi="ar-SA"/>
        </w:rPr>
        <w:t>UE is not expected to initiate UAI to indicate change of SCG deactivation preference only for the purpose of QoE reporting via SRB5</w:t>
      </w:r>
      <w:r>
        <w:rPr>
          <w:rFonts w:ascii="Times New Roman" w:hAnsi="Times New Roman" w:eastAsia="Times New Roman" w:cs="Times New Roman"/>
          <w:b/>
          <w:bCs w:val="0"/>
          <w:highlight w:val="none"/>
          <w:lang w:val="en-GB" w:eastAsia="ja-JP" w:bidi="ar-SA"/>
        </w:rPr>
        <w:t>.</w:t>
      </w:r>
    </w:p>
    <w:p>
      <w:pPr>
        <w:jc w:val="both"/>
        <w:rPr>
          <w:rFonts w:ascii="Times New Roman" w:hAnsi="Times New Roman" w:eastAsia="Times New Roman" w:cs="Times New Roman"/>
          <w:b/>
          <w:bCs w:val="0"/>
          <w:highlight w:val="none"/>
          <w:lang w:val="en-GB" w:eastAsia="ja-JP" w:bidi="ar-SA"/>
        </w:rPr>
      </w:pPr>
    </w:p>
    <w:p>
      <w:pPr>
        <w:jc w:val="both"/>
      </w:pPr>
      <w:r>
        <w:rPr>
          <w:rFonts w:cs="Arial"/>
          <w:bCs/>
        </w:rPr>
        <w:fldChar w:fldCharType="begin"/>
      </w:r>
      <w:r>
        <w:rPr>
          <w:rFonts w:cs="Arial"/>
          <w:bCs/>
        </w:rPr>
        <w:instrText xml:space="preserve"> TOC \n \h \z \t "Proposal" \c </w:instrText>
      </w:r>
      <w:r>
        <w:rPr>
          <w:rFonts w:cs="Arial"/>
          <w:bCs/>
        </w:rPr>
        <w:fldChar w:fldCharType="separate"/>
      </w:r>
    </w:p>
    <w:p>
      <w:pPr>
        <w:pStyle w:val="2"/>
        <w:rPr>
          <w:rFonts w:cs="Arial"/>
          <w:b/>
          <w:lang w:val="en-US" w:eastAsia="ja-JP"/>
        </w:rPr>
        <w:sectPr>
          <w:footnotePr>
            <w:numRestart w:val="eachSect"/>
          </w:footnotePr>
          <w:pgSz w:w="11907" w:h="16840"/>
          <w:pgMar w:top="1134" w:right="1134" w:bottom="1418" w:left="1134" w:header="680" w:footer="567" w:gutter="0"/>
          <w:cols w:space="720" w:num="1"/>
          <w:docGrid w:linePitch="272" w:charSpace="0"/>
        </w:sectPr>
      </w:pPr>
      <w:r>
        <w:rPr>
          <w:rFonts w:ascii="Arial" w:hAnsi="Arial" w:cs="Arial"/>
          <w:bCs/>
        </w:rPr>
        <w:fldChar w:fldCharType="end"/>
      </w:r>
      <w:bookmarkEnd w:id="2"/>
      <w:bookmarkEnd w:id="3"/>
    </w:p>
    <w:p>
      <w:pPr>
        <w:pStyle w:val="2"/>
        <w:rPr>
          <w:rFonts w:cs="Arial"/>
          <w:b/>
          <w:lang w:val="en-US" w:eastAsia="ja-JP"/>
        </w:rPr>
      </w:pPr>
      <w:bookmarkStart w:id="5" w:name="_GoBack"/>
      <w:bookmarkEnd w:id="5"/>
      <w:r>
        <w:rPr>
          <w:rFonts w:cs="Arial"/>
          <w:b/>
          <w:lang w:val="en-US" w:eastAsia="ja-JP"/>
        </w:rPr>
        <w:t>References</w:t>
      </w:r>
    </w:p>
    <w:p>
      <w:pPr>
        <w:pStyle w:val="47"/>
        <w:numPr>
          <w:ilvl w:val="0"/>
          <w:numId w:val="9"/>
        </w:numPr>
        <w:rPr>
          <w:rFonts w:cs="Arial"/>
          <w:color w:val="000000"/>
        </w:rPr>
      </w:pPr>
      <w:bookmarkStart w:id="4" w:name="_Ref31646358"/>
      <w:r>
        <w:rPr>
          <w:rFonts w:hint="eastAsia" w:eastAsia="宋体" w:cs="Arial"/>
          <w:color w:val="000000"/>
          <w:lang w:val="en-US" w:eastAsia="zh-CN"/>
        </w:rPr>
        <w:t xml:space="preserve">R3-234750, LS on RAN3 progress on QoE in NR-DC, </w:t>
      </w:r>
      <w:r>
        <w:rPr>
          <w:rFonts w:hint="eastAsia" w:eastAsia="宋体"/>
          <w:lang w:eastAsia="zh-CN"/>
        </w:rPr>
        <w:t>Aug</w:t>
      </w:r>
      <w:r>
        <w:rPr>
          <w:rFonts w:hint="eastAsia" w:eastAsia="宋体"/>
          <w:lang w:val="en-US" w:eastAsia="zh-CN"/>
        </w:rPr>
        <w:t>, 2023</w:t>
      </w:r>
    </w:p>
    <w:p>
      <w:pPr>
        <w:pStyle w:val="47"/>
        <w:numPr>
          <w:ilvl w:val="0"/>
          <w:numId w:val="9"/>
        </w:numPr>
        <w:rPr>
          <w:lang w:val="en-US"/>
        </w:rPr>
      </w:pPr>
      <w:r>
        <w:rPr>
          <w:rFonts w:cs="Arial"/>
          <w:color w:val="000000"/>
        </w:rPr>
        <w:t>R2-2308962</w:t>
      </w:r>
      <w:r>
        <w:rPr>
          <w:rFonts w:cs="Arial"/>
          <w:color w:val="000000"/>
        </w:rPr>
        <w:tab/>
      </w:r>
      <w:r>
        <w:rPr>
          <w:rFonts w:cs="Arial"/>
          <w:color w:val="000000"/>
        </w:rPr>
        <w:t>Report from session on LTE legacy, XR, QoE and Multi-SIM</w:t>
      </w:r>
      <w:r>
        <w:rPr>
          <w:rFonts w:cs="Arial"/>
          <w:color w:val="000000"/>
        </w:rPr>
        <w:tab/>
      </w:r>
      <w:r>
        <w:rPr>
          <w:rFonts w:cs="Arial"/>
          <w:color w:val="000000"/>
        </w:rPr>
        <w:t>Vice Chairman (Nokia)</w:t>
      </w:r>
      <w:r>
        <w:rPr>
          <w:rFonts w:cs="Arial"/>
          <w:color w:val="000000"/>
        </w:rPr>
        <w:tab/>
      </w:r>
      <w:r>
        <w:rPr>
          <w:rFonts w:cs="Arial"/>
          <w:color w:val="000000"/>
        </w:rPr>
        <w:t>Report</w:t>
      </w:r>
      <w:bookmarkEnd w:id="4"/>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D3204D3"/>
    <w:multiLevelType w:val="singleLevel"/>
    <w:tmpl w:val="FD3204D3"/>
    <w:lvl w:ilvl="0" w:tentative="0">
      <w:start w:val="1"/>
      <w:numFmt w:val="decimal"/>
      <w:lvlText w:val="%1."/>
      <w:lvlJc w:val="left"/>
      <w:pPr>
        <w:ind w:left="425" w:hanging="425"/>
      </w:pPr>
      <w:rPr>
        <w:rFonts w:hint="default"/>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D293ABC"/>
    <w:multiLevelType w:val="singleLevel"/>
    <w:tmpl w:val="5D293ABC"/>
    <w:lvl w:ilvl="0" w:tentative="0">
      <w:start w:val="1"/>
      <w:numFmt w:val="bullet"/>
      <w:lvlText w:val="•"/>
      <w:lvlJc w:val="left"/>
      <w:pPr>
        <w:ind w:left="420" w:hanging="420"/>
      </w:pPr>
      <w:rPr>
        <w:rFonts w:hint="default" w:ascii="Arial" w:hAnsi="Arial" w:cs="Arial"/>
      </w:rPr>
    </w:lvl>
  </w:abstractNum>
  <w:abstractNum w:abstractNumId="7">
    <w:nsid w:val="70146DC0"/>
    <w:multiLevelType w:val="multilevel"/>
    <w:tmpl w:val="70146DC0"/>
    <w:lvl w:ilvl="0" w:tentative="0">
      <w:start w:val="1"/>
      <w:numFmt w:val="bullet"/>
      <w:pStyle w:val="65"/>
      <w:lvlText w:val=""/>
      <w:lvlJc w:val="left"/>
      <w:pPr>
        <w:tabs>
          <w:tab w:val="left" w:pos="376"/>
        </w:tabs>
        <w:ind w:left="376"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8"/>
  </w:num>
  <w:num w:numId="3">
    <w:abstractNumId w:val="3"/>
  </w:num>
  <w:num w:numId="4">
    <w:abstractNumId w:val="5"/>
  </w:num>
  <w:num w:numId="5">
    <w:abstractNumId w:val="7"/>
  </w:num>
  <w:num w:numId="6">
    <w:abstractNumId w:val="0"/>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9375020"/>
    <w:rsid w:val="09C948EF"/>
    <w:rsid w:val="0BFB12C2"/>
    <w:rsid w:val="0E3E9496"/>
    <w:rsid w:val="0E5F9CB4"/>
    <w:rsid w:val="0E665D57"/>
    <w:rsid w:val="0F0EE4C1"/>
    <w:rsid w:val="0FA0424B"/>
    <w:rsid w:val="0FC92838"/>
    <w:rsid w:val="10FC5926"/>
    <w:rsid w:val="11493710"/>
    <w:rsid w:val="11B229BC"/>
    <w:rsid w:val="121A43C3"/>
    <w:rsid w:val="12496A3B"/>
    <w:rsid w:val="13DC36BF"/>
    <w:rsid w:val="14743F25"/>
    <w:rsid w:val="14D342B9"/>
    <w:rsid w:val="15A77CF7"/>
    <w:rsid w:val="15EFE608"/>
    <w:rsid w:val="16615500"/>
    <w:rsid w:val="16EC3701"/>
    <w:rsid w:val="1725558F"/>
    <w:rsid w:val="1B7C2413"/>
    <w:rsid w:val="1C6C6FE7"/>
    <w:rsid w:val="1C7B0ADB"/>
    <w:rsid w:val="1CB30632"/>
    <w:rsid w:val="1CC15C5E"/>
    <w:rsid w:val="1D954282"/>
    <w:rsid w:val="1DB36542"/>
    <w:rsid w:val="1DFBF6E4"/>
    <w:rsid w:val="1E9578E3"/>
    <w:rsid w:val="1F2D6A58"/>
    <w:rsid w:val="1F4C11C0"/>
    <w:rsid w:val="1F6D6B9B"/>
    <w:rsid w:val="1FED5282"/>
    <w:rsid w:val="202A7EF7"/>
    <w:rsid w:val="206550E2"/>
    <w:rsid w:val="22DA3D34"/>
    <w:rsid w:val="24BE5892"/>
    <w:rsid w:val="26882CCD"/>
    <w:rsid w:val="26F7BF4C"/>
    <w:rsid w:val="275A2DCF"/>
    <w:rsid w:val="27CB1F54"/>
    <w:rsid w:val="27FFA541"/>
    <w:rsid w:val="297DC4A8"/>
    <w:rsid w:val="2B2C6474"/>
    <w:rsid w:val="2BAF152E"/>
    <w:rsid w:val="2D2E6356"/>
    <w:rsid w:val="2F8E5407"/>
    <w:rsid w:val="2FF9664E"/>
    <w:rsid w:val="30DE7E5D"/>
    <w:rsid w:val="31156426"/>
    <w:rsid w:val="315601A1"/>
    <w:rsid w:val="316A5656"/>
    <w:rsid w:val="31FE24B3"/>
    <w:rsid w:val="326A457D"/>
    <w:rsid w:val="341E1712"/>
    <w:rsid w:val="34674028"/>
    <w:rsid w:val="349C2B59"/>
    <w:rsid w:val="36EE39A5"/>
    <w:rsid w:val="38316253"/>
    <w:rsid w:val="38612C28"/>
    <w:rsid w:val="38E5511B"/>
    <w:rsid w:val="396D586C"/>
    <w:rsid w:val="39F73F8B"/>
    <w:rsid w:val="3A00635D"/>
    <w:rsid w:val="3A6D81E3"/>
    <w:rsid w:val="3AB0450D"/>
    <w:rsid w:val="3BE3D02D"/>
    <w:rsid w:val="3BFF0C49"/>
    <w:rsid w:val="3D9D4E9B"/>
    <w:rsid w:val="3DFFB085"/>
    <w:rsid w:val="3E77BAA0"/>
    <w:rsid w:val="3E985826"/>
    <w:rsid w:val="3F5C23BF"/>
    <w:rsid w:val="3F6203BF"/>
    <w:rsid w:val="3FF79F2F"/>
    <w:rsid w:val="3FFA43A6"/>
    <w:rsid w:val="3FFADB85"/>
    <w:rsid w:val="3FFD5D3E"/>
    <w:rsid w:val="3FFD8422"/>
    <w:rsid w:val="3FFF5780"/>
    <w:rsid w:val="400A15E6"/>
    <w:rsid w:val="40462601"/>
    <w:rsid w:val="414D6875"/>
    <w:rsid w:val="419C32FA"/>
    <w:rsid w:val="42987A24"/>
    <w:rsid w:val="42BF1091"/>
    <w:rsid w:val="43CD7E63"/>
    <w:rsid w:val="44181307"/>
    <w:rsid w:val="44F85C75"/>
    <w:rsid w:val="456D246E"/>
    <w:rsid w:val="457B68DE"/>
    <w:rsid w:val="45B61D3A"/>
    <w:rsid w:val="45C95632"/>
    <w:rsid w:val="462420DE"/>
    <w:rsid w:val="464F5DCC"/>
    <w:rsid w:val="4693A455"/>
    <w:rsid w:val="492B480D"/>
    <w:rsid w:val="49D1242C"/>
    <w:rsid w:val="4B4253E5"/>
    <w:rsid w:val="4C7A55EA"/>
    <w:rsid w:val="4DB13AC8"/>
    <w:rsid w:val="4DC61830"/>
    <w:rsid w:val="4E0D76BE"/>
    <w:rsid w:val="502618E8"/>
    <w:rsid w:val="513A5D24"/>
    <w:rsid w:val="51E31E4D"/>
    <w:rsid w:val="52E1277A"/>
    <w:rsid w:val="53506A14"/>
    <w:rsid w:val="5376F47B"/>
    <w:rsid w:val="539A241D"/>
    <w:rsid w:val="53B06961"/>
    <w:rsid w:val="53DBFC72"/>
    <w:rsid w:val="54140328"/>
    <w:rsid w:val="55FD291D"/>
    <w:rsid w:val="568F6FED"/>
    <w:rsid w:val="56DD3CBA"/>
    <w:rsid w:val="570E7D91"/>
    <w:rsid w:val="572627C1"/>
    <w:rsid w:val="5752678E"/>
    <w:rsid w:val="57A84624"/>
    <w:rsid w:val="57DBF499"/>
    <w:rsid w:val="57ED237E"/>
    <w:rsid w:val="57F9F4C0"/>
    <w:rsid w:val="5A49DD30"/>
    <w:rsid w:val="5A874152"/>
    <w:rsid w:val="5B0F4579"/>
    <w:rsid w:val="5B47CE77"/>
    <w:rsid w:val="5B6E35DA"/>
    <w:rsid w:val="5B7D3FDD"/>
    <w:rsid w:val="5BBF1214"/>
    <w:rsid w:val="5C752D48"/>
    <w:rsid w:val="5CFFB94F"/>
    <w:rsid w:val="5D0A4027"/>
    <w:rsid w:val="5DFE3D30"/>
    <w:rsid w:val="5EB79E98"/>
    <w:rsid w:val="5EDA4C83"/>
    <w:rsid w:val="5EE6136B"/>
    <w:rsid w:val="5F236657"/>
    <w:rsid w:val="5F329599"/>
    <w:rsid w:val="5FA520D2"/>
    <w:rsid w:val="5FD43898"/>
    <w:rsid w:val="60125B06"/>
    <w:rsid w:val="60A80188"/>
    <w:rsid w:val="61B37ED5"/>
    <w:rsid w:val="62E12B08"/>
    <w:rsid w:val="62FF9A58"/>
    <w:rsid w:val="63F8113F"/>
    <w:rsid w:val="65DF3FAF"/>
    <w:rsid w:val="65F32C4F"/>
    <w:rsid w:val="661770E1"/>
    <w:rsid w:val="66DE7035"/>
    <w:rsid w:val="677D7344"/>
    <w:rsid w:val="67E56CE4"/>
    <w:rsid w:val="6843BC62"/>
    <w:rsid w:val="68522667"/>
    <w:rsid w:val="68634C04"/>
    <w:rsid w:val="691275D4"/>
    <w:rsid w:val="6962E34B"/>
    <w:rsid w:val="697D2C2D"/>
    <w:rsid w:val="69E5BA5C"/>
    <w:rsid w:val="6A0875FF"/>
    <w:rsid w:val="6AEC7E8E"/>
    <w:rsid w:val="6B0278D1"/>
    <w:rsid w:val="6C286E44"/>
    <w:rsid w:val="6C76434F"/>
    <w:rsid w:val="6CA8A0BD"/>
    <w:rsid w:val="6CF94B0A"/>
    <w:rsid w:val="6D074150"/>
    <w:rsid w:val="6DF7F8C1"/>
    <w:rsid w:val="6DFF82F9"/>
    <w:rsid w:val="6E6F6473"/>
    <w:rsid w:val="6EBD79AA"/>
    <w:rsid w:val="6EDFE721"/>
    <w:rsid w:val="6F7FE3F0"/>
    <w:rsid w:val="6F9D4C7A"/>
    <w:rsid w:val="6FA506C1"/>
    <w:rsid w:val="6FBF69E8"/>
    <w:rsid w:val="6FC7F1BE"/>
    <w:rsid w:val="6FE732C1"/>
    <w:rsid w:val="71B722E2"/>
    <w:rsid w:val="727428C1"/>
    <w:rsid w:val="72AD424E"/>
    <w:rsid w:val="7368719F"/>
    <w:rsid w:val="737EFC44"/>
    <w:rsid w:val="737F5333"/>
    <w:rsid w:val="73F64E03"/>
    <w:rsid w:val="73FF9F8C"/>
    <w:rsid w:val="744F2812"/>
    <w:rsid w:val="757BF952"/>
    <w:rsid w:val="75D24256"/>
    <w:rsid w:val="767F27D6"/>
    <w:rsid w:val="76F43E69"/>
    <w:rsid w:val="772E1279"/>
    <w:rsid w:val="774228C0"/>
    <w:rsid w:val="776F5A8F"/>
    <w:rsid w:val="776FEFA2"/>
    <w:rsid w:val="777D36F8"/>
    <w:rsid w:val="77EECA84"/>
    <w:rsid w:val="7866265F"/>
    <w:rsid w:val="78E12248"/>
    <w:rsid w:val="79063C38"/>
    <w:rsid w:val="79C13443"/>
    <w:rsid w:val="79E13B9D"/>
    <w:rsid w:val="7A1E2EED"/>
    <w:rsid w:val="7A6E44C1"/>
    <w:rsid w:val="7AA3A95B"/>
    <w:rsid w:val="7AA9E0DC"/>
    <w:rsid w:val="7AB17601"/>
    <w:rsid w:val="7AD659AC"/>
    <w:rsid w:val="7B747242"/>
    <w:rsid w:val="7B751B3D"/>
    <w:rsid w:val="7BDF7CED"/>
    <w:rsid w:val="7BF5E087"/>
    <w:rsid w:val="7BFBF581"/>
    <w:rsid w:val="7BFC41CD"/>
    <w:rsid w:val="7BFF5FD0"/>
    <w:rsid w:val="7D466D95"/>
    <w:rsid w:val="7DB7BF42"/>
    <w:rsid w:val="7DBB01E5"/>
    <w:rsid w:val="7DBBD3E5"/>
    <w:rsid w:val="7DC614CD"/>
    <w:rsid w:val="7E6FD489"/>
    <w:rsid w:val="7E7F0942"/>
    <w:rsid w:val="7EB31986"/>
    <w:rsid w:val="7EBB602A"/>
    <w:rsid w:val="7EBF876E"/>
    <w:rsid w:val="7ECCADB2"/>
    <w:rsid w:val="7EEEEF79"/>
    <w:rsid w:val="7EF62DE7"/>
    <w:rsid w:val="7EF7A453"/>
    <w:rsid w:val="7F1DD884"/>
    <w:rsid w:val="7F4336EA"/>
    <w:rsid w:val="7F6FC3DB"/>
    <w:rsid w:val="7F7D579B"/>
    <w:rsid w:val="7F7D7656"/>
    <w:rsid w:val="7F992501"/>
    <w:rsid w:val="7FA2C79D"/>
    <w:rsid w:val="7FB6D2B2"/>
    <w:rsid w:val="7FBF5124"/>
    <w:rsid w:val="7FBFFF87"/>
    <w:rsid w:val="7FDE9AA9"/>
    <w:rsid w:val="7FE3032F"/>
    <w:rsid w:val="7FEC6F91"/>
    <w:rsid w:val="7FFB8F88"/>
    <w:rsid w:val="7FFC79F9"/>
    <w:rsid w:val="7FFD7C04"/>
    <w:rsid w:val="7FFF4E36"/>
    <w:rsid w:val="7FFFB156"/>
    <w:rsid w:val="8EF50D8E"/>
    <w:rsid w:val="9B3F6C7C"/>
    <w:rsid w:val="9BAE45FC"/>
    <w:rsid w:val="9EF63205"/>
    <w:rsid w:val="9FEBC12F"/>
    <w:rsid w:val="9FFFC288"/>
    <w:rsid w:val="A3DE6C07"/>
    <w:rsid w:val="AAD38468"/>
    <w:rsid w:val="ABEE53F4"/>
    <w:rsid w:val="AF9FE9FA"/>
    <w:rsid w:val="B57E36BC"/>
    <w:rsid w:val="B65A7AAE"/>
    <w:rsid w:val="BAF9DAC9"/>
    <w:rsid w:val="BB6C1E6C"/>
    <w:rsid w:val="BBCB115D"/>
    <w:rsid w:val="BBFC745E"/>
    <w:rsid w:val="BCF5EDDE"/>
    <w:rsid w:val="BD7E460E"/>
    <w:rsid w:val="BDDF77C8"/>
    <w:rsid w:val="BE7E8A05"/>
    <w:rsid w:val="BE7EEE76"/>
    <w:rsid w:val="BEBFB4D1"/>
    <w:rsid w:val="BF3F4E4A"/>
    <w:rsid w:val="BFBCA0CF"/>
    <w:rsid w:val="BFCEF061"/>
    <w:rsid w:val="BFDF84EB"/>
    <w:rsid w:val="BFEE72EF"/>
    <w:rsid w:val="BFF76D42"/>
    <w:rsid w:val="BFF90683"/>
    <w:rsid w:val="C6FB4D67"/>
    <w:rsid w:val="C7FF8FB4"/>
    <w:rsid w:val="C8FF51BA"/>
    <w:rsid w:val="CB91F186"/>
    <w:rsid w:val="CBCF3CC7"/>
    <w:rsid w:val="CBFF8685"/>
    <w:rsid w:val="CF3F5F84"/>
    <w:rsid w:val="CF4714AE"/>
    <w:rsid w:val="D37F4C68"/>
    <w:rsid w:val="D575FC31"/>
    <w:rsid w:val="D5F5B8E6"/>
    <w:rsid w:val="D68D1050"/>
    <w:rsid w:val="D6B5EB0A"/>
    <w:rsid w:val="D6F774BC"/>
    <w:rsid w:val="D7E72850"/>
    <w:rsid w:val="D7F6DA9A"/>
    <w:rsid w:val="D9A77203"/>
    <w:rsid w:val="D9ADEA76"/>
    <w:rsid w:val="D9D4D66E"/>
    <w:rsid w:val="DBF91EB3"/>
    <w:rsid w:val="DDB75C8C"/>
    <w:rsid w:val="DDEC5EFC"/>
    <w:rsid w:val="DDFF1BDE"/>
    <w:rsid w:val="DEFC8A9A"/>
    <w:rsid w:val="DF76C881"/>
    <w:rsid w:val="DFCF44DD"/>
    <w:rsid w:val="DFED06EF"/>
    <w:rsid w:val="E4BF6A47"/>
    <w:rsid w:val="E6F26379"/>
    <w:rsid w:val="E73C6E01"/>
    <w:rsid w:val="E83D41F3"/>
    <w:rsid w:val="EAEABC4D"/>
    <w:rsid w:val="EAFD4DE0"/>
    <w:rsid w:val="EBF78488"/>
    <w:rsid w:val="EBFDAD4D"/>
    <w:rsid w:val="ED5FB71C"/>
    <w:rsid w:val="EDDFED59"/>
    <w:rsid w:val="EDFFE875"/>
    <w:rsid w:val="EFB334B9"/>
    <w:rsid w:val="F21A3672"/>
    <w:rsid w:val="F2FF8C5C"/>
    <w:rsid w:val="F31DAC52"/>
    <w:rsid w:val="F3775739"/>
    <w:rsid w:val="F5FF9526"/>
    <w:rsid w:val="F63F3C85"/>
    <w:rsid w:val="F6657418"/>
    <w:rsid w:val="F6B552BA"/>
    <w:rsid w:val="F6F74066"/>
    <w:rsid w:val="F6FC273B"/>
    <w:rsid w:val="F79D2B10"/>
    <w:rsid w:val="F7ECBD19"/>
    <w:rsid w:val="F7EE441C"/>
    <w:rsid w:val="F7EE4F89"/>
    <w:rsid w:val="F9B7C2FB"/>
    <w:rsid w:val="F9BFB2A1"/>
    <w:rsid w:val="F9E377B6"/>
    <w:rsid w:val="FADD67B2"/>
    <w:rsid w:val="FAF7FD79"/>
    <w:rsid w:val="FB3B950C"/>
    <w:rsid w:val="FB4E9BD6"/>
    <w:rsid w:val="FB7D9ADE"/>
    <w:rsid w:val="FBEFE8AE"/>
    <w:rsid w:val="FBF7563B"/>
    <w:rsid w:val="FBFAD513"/>
    <w:rsid w:val="FBFCBB6D"/>
    <w:rsid w:val="FBFFA049"/>
    <w:rsid w:val="FC71C2BC"/>
    <w:rsid w:val="FCCECD9C"/>
    <w:rsid w:val="FCD82315"/>
    <w:rsid w:val="FCF704CC"/>
    <w:rsid w:val="FCFB4383"/>
    <w:rsid w:val="FDDF1462"/>
    <w:rsid w:val="FDE71F62"/>
    <w:rsid w:val="FDFF4BA5"/>
    <w:rsid w:val="FDFFA44C"/>
    <w:rsid w:val="FEDB94C2"/>
    <w:rsid w:val="FEF5F3AF"/>
    <w:rsid w:val="FEFE0680"/>
    <w:rsid w:val="FEFE7999"/>
    <w:rsid w:val="FF65430A"/>
    <w:rsid w:val="FF773F42"/>
    <w:rsid w:val="FF7FAC18"/>
    <w:rsid w:val="FF8FC82E"/>
    <w:rsid w:val="FFB1390D"/>
    <w:rsid w:val="FFBF71ED"/>
    <w:rsid w:val="FFCC92C0"/>
    <w:rsid w:val="FFCF8EED"/>
    <w:rsid w:val="FFD722E0"/>
    <w:rsid w:val="FFEBBC99"/>
    <w:rsid w:val="FFEF958A"/>
    <w:rsid w:val="FFF5A106"/>
    <w:rsid w:val="FFFA245F"/>
    <w:rsid w:val="FFFA6C2F"/>
    <w:rsid w:val="FFFB06A9"/>
    <w:rsid w:val="FFFC82C3"/>
    <w:rsid w:val="FFFCBACC"/>
    <w:rsid w:val="FFFD2A82"/>
    <w:rsid w:val="FFFFE764"/>
    <w:rsid w:val="FFFFE9C1"/>
    <w:rsid w:val="FFFFF0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12" w:lineRule="auto"/>
    </w:pPr>
    <w:rPr>
      <w:rFonts w:ascii="Times New Roman" w:hAnsi="Times New Roman" w:eastAsiaTheme="minorEastAsia" w:cstheme="minorBidi"/>
      <w:sz w:val="20"/>
      <w:szCs w:val="22"/>
      <w:lang w:val="en-US" w:eastAsia="en-US" w:bidi="ar-SA"/>
    </w:rPr>
  </w:style>
  <w:style w:type="paragraph" w:styleId="2">
    <w:name w:val="heading 1"/>
    <w:basedOn w:val="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7"/>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66"/>
    <w:qFormat/>
    <w:uiPriority w:val="99"/>
    <w:pPr>
      <w:numPr>
        <w:ilvl w:val="0"/>
        <w:numId w:val="5"/>
      </w:numPr>
      <w:tabs>
        <w:tab w:val="left" w:pos="1619"/>
        <w:tab w:val="clear" w:pos="376"/>
      </w:tabs>
      <w:spacing w:before="60" w:after="0" w:line="240" w:lineRule="auto"/>
      <w:ind w:left="1619"/>
    </w:pPr>
    <w:rPr>
      <w:rFonts w:ascii="Arial" w:hAnsi="Arial" w:eastAsia="MS Mincho" w:cs="Times New Roman"/>
      <w:b/>
      <w:sz w:val="20"/>
      <w:szCs w:val="24"/>
      <w:lang w:val="en-GB" w:eastAsia="en-GB"/>
    </w:rPr>
  </w:style>
  <w:style w:type="paragraph" w:customStyle="1" w:styleId="66">
    <w:name w:val="Doc-text2"/>
    <w:basedOn w:val="1"/>
    <w:qFormat/>
    <w:uiPriority w:val="0"/>
    <w:pPr>
      <w:tabs>
        <w:tab w:val="left" w:pos="1622"/>
      </w:tabs>
      <w:spacing w:before="0"/>
      <w:ind w:left="1622" w:hanging="363"/>
    </w:pPr>
  </w:style>
  <w:style w:type="character" w:customStyle="1" w:styleId="67">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8">
    <w:name w:val="IvD bodytext"/>
    <w:basedOn w:val="13"/>
    <w:link w:val="69"/>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9">
    <w:name w:val="IvD bodytext Char"/>
    <w:basedOn w:val="24"/>
    <w:link w:val="68"/>
    <w:qFormat/>
    <w:uiPriority w:val="0"/>
    <w:rPr>
      <w:rFonts w:ascii="Arial" w:hAnsi="Arial" w:cs="Times New Roman"/>
      <w:spacing w:val="2"/>
      <w:sz w:val="20"/>
      <w:szCs w:val="20"/>
    </w:rPr>
  </w:style>
  <w:style w:type="paragraph" w:customStyle="1" w:styleId="70">
    <w:name w:val="YJ-Proposal"/>
    <w:basedOn w:val="1"/>
    <w:qFormat/>
    <w:uiPriority w:val="0"/>
    <w:pPr>
      <w:numPr>
        <w:ilvl w:val="0"/>
        <w:numId w:val="6"/>
      </w:numPr>
    </w:pPr>
    <w:rPr>
      <w:b/>
      <w:bCs/>
      <w:i/>
      <w:iCs/>
      <w:sz w:val="20"/>
      <w:lang w:val="en-GB"/>
    </w:rPr>
  </w:style>
  <w:style w:type="paragraph" w:customStyle="1" w:styleId="71">
    <w:name w:val="CR Cover Page"/>
    <w:qFormat/>
    <w:uiPriority w:val="0"/>
    <w:pPr>
      <w:spacing w:after="120"/>
    </w:pPr>
    <w:rPr>
      <w:rFonts w:ascii="Arial" w:hAnsi="Arial" w:eastAsia="Batang" w:cs="Times New Roman"/>
      <w:lang w:val="en-GB" w:eastAsia="en-US" w:bidi="ar-SA"/>
    </w:rPr>
  </w:style>
  <w:style w:type="paragraph" w:customStyle="1" w:styleId="72">
    <w:name w:val="listparagraph3"/>
    <w:basedOn w:val="1"/>
    <w:semiHidden/>
    <w:qFormat/>
    <w:uiPriority w:val="0"/>
    <w:pPr>
      <w:spacing w:after="100" w:afterAutospacing="1"/>
    </w:pPr>
    <w:rPr>
      <w:rFonts w:ascii="Calibri" w:hAnsi="Calibri" w:eastAsia="宋体" w:cs="Calibri"/>
    </w:rPr>
  </w:style>
  <w:style w:type="paragraph" w:customStyle="1" w:styleId="73">
    <w:name w:val="TAL"/>
    <w:basedOn w:val="1"/>
    <w:qFormat/>
    <w:uiPriority w:val="0"/>
    <w:pPr>
      <w:keepNext/>
      <w:keepLines/>
      <w:spacing w:after="0"/>
    </w:pPr>
    <w:rPr>
      <w:rFonts w:ascii="Arial" w:hAnsi="Arial"/>
      <w:sz w:val="18"/>
    </w:rPr>
  </w:style>
  <w:style w:type="character" w:customStyle="1" w:styleId="74">
    <w:name w:val="15"/>
    <w:qFormat/>
    <w:uiPriority w:val="0"/>
    <w:rPr>
      <w:rFonts w:hint="default" w:ascii="CG Times (WN)" w:hAnsi="CG Times (WN)"/>
      <w:color w:val="0000FF"/>
      <w:u w:val="single"/>
    </w:rPr>
  </w:style>
  <w:style w:type="paragraph" w:customStyle="1" w:styleId="75">
    <w:name w:val="Doc-title"/>
    <w:basedOn w:val="1"/>
    <w:next w:val="66"/>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6</TotalTime>
  <ScaleCrop>false</ScaleCrop>
  <LinksUpToDate>false</LinksUpToDate>
  <CharactersWithSpaces>9523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2022-05-17T22:46:00Z</dcterms:created>
  <dc:creator>ZTE(Zhihong)</dc:creator>
  <cp:lastModifiedBy>ZTE(Zhihong)-0928-qzh4</cp:lastModifiedBy>
  <dcterms:modified xsi:type="dcterms:W3CDTF">2023-09-29T05:34:59Z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D211E12044D34A52A45B6B22336E1A11</vt:lpwstr>
  </property>
</Properties>
</file>